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AEA" w:rsidRPr="00877AE6" w:rsidRDefault="00707317" w:rsidP="000D5AEA">
      <w:pPr>
        <w:spacing w:after="0" w:line="360" w:lineRule="auto"/>
        <w:jc w:val="both"/>
        <w:rPr>
          <w:rFonts w:ascii="Palatino Linotype" w:eastAsia="Calibri" w:hAnsi="Palatino Linotype" w:cs="Arial"/>
          <w:b/>
          <w:bCs/>
          <w:sz w:val="24"/>
          <w:szCs w:val="24"/>
          <w:lang w:eastAsia="es-MX"/>
        </w:rPr>
      </w:pPr>
      <w:r w:rsidRPr="00877AE6">
        <w:rPr>
          <w:rFonts w:ascii="Palatino Linotype" w:eastAsia="Calibri" w:hAnsi="Palatino Linotype" w:cs="Arial"/>
          <w:b/>
          <w:sz w:val="24"/>
          <w:szCs w:val="24"/>
        </w:rPr>
        <w:t>VOTO</w:t>
      </w:r>
      <w:r w:rsidR="000D5AEA" w:rsidRPr="00877AE6">
        <w:rPr>
          <w:rFonts w:ascii="Palatino Linotype" w:eastAsia="Calibri" w:hAnsi="Palatino Linotype" w:cs="Arial"/>
          <w:b/>
          <w:sz w:val="24"/>
          <w:szCs w:val="24"/>
        </w:rPr>
        <w:t xml:space="preserve"> PARTICULAR DEL COMISIONADO JOSÉ GUADALUPE LUNA HERNÁNDEZ EN EL RECURSO DE REVISIÓN </w:t>
      </w:r>
      <w:r w:rsidR="003D1DF8">
        <w:rPr>
          <w:rFonts w:ascii="Palatino Linotype" w:eastAsia="Calibri" w:hAnsi="Palatino Linotype" w:cs="Arial"/>
          <w:b/>
          <w:sz w:val="24"/>
          <w:szCs w:val="24"/>
        </w:rPr>
        <w:t>0</w:t>
      </w:r>
      <w:r w:rsidR="00C93C6C">
        <w:rPr>
          <w:rFonts w:ascii="Palatino Linotype" w:eastAsia="Calibri" w:hAnsi="Palatino Linotype" w:cs="Arial"/>
          <w:b/>
          <w:sz w:val="24"/>
          <w:szCs w:val="24"/>
        </w:rPr>
        <w:t>0207</w:t>
      </w:r>
      <w:r w:rsidR="003D1DF8">
        <w:rPr>
          <w:rFonts w:ascii="Palatino Linotype" w:eastAsia="Calibri" w:hAnsi="Palatino Linotype" w:cs="Arial"/>
          <w:b/>
          <w:sz w:val="24"/>
          <w:szCs w:val="24"/>
        </w:rPr>
        <w:t>/INFOEM/IP/RR/201</w:t>
      </w:r>
      <w:r w:rsidR="00C93C6C">
        <w:rPr>
          <w:rFonts w:ascii="Palatino Linotype" w:eastAsia="Calibri" w:hAnsi="Palatino Linotype" w:cs="Arial"/>
          <w:b/>
          <w:sz w:val="24"/>
          <w:szCs w:val="24"/>
        </w:rPr>
        <w:t>9</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jc w:val="both"/>
        <w:rPr>
          <w:rFonts w:ascii="Palatino Linotype" w:eastAsia="Calibri" w:hAnsi="Palatino Linotype" w:cs="Arial"/>
          <w:sz w:val="24"/>
          <w:szCs w:val="24"/>
        </w:rPr>
      </w:pPr>
    </w:p>
    <w:p w:rsidR="00376456" w:rsidRDefault="00E220D0" w:rsidP="00FE083B">
      <w:pPr>
        <w:pStyle w:val="Sinespaciado"/>
        <w:spacing w:line="360" w:lineRule="auto"/>
        <w:jc w:val="both"/>
        <w:rPr>
          <w:rFonts w:ascii="Palatino Linotype" w:eastAsia="Calibri" w:hAnsi="Palatino Linotype" w:cs="Arial"/>
          <w:sz w:val="24"/>
          <w:szCs w:val="24"/>
        </w:rPr>
      </w:pPr>
      <w:r w:rsidRPr="00877AE6">
        <w:rPr>
          <w:rFonts w:ascii="Palatino Linotype" w:eastAsia="Calibri" w:hAnsi="Palatino Linotype" w:cs="Arial"/>
          <w:b/>
          <w:sz w:val="24"/>
          <w:szCs w:val="24"/>
        </w:rPr>
        <w:t>Resumen del voto:</w:t>
      </w:r>
      <w:r w:rsidRPr="00877AE6">
        <w:rPr>
          <w:rFonts w:ascii="Palatino Linotype" w:eastAsia="Calibri" w:hAnsi="Palatino Linotype" w:cs="Arial"/>
          <w:sz w:val="24"/>
          <w:szCs w:val="24"/>
        </w:rPr>
        <w:t xml:space="preserve"> </w:t>
      </w:r>
    </w:p>
    <w:p w:rsidR="00C32891" w:rsidRPr="007528B1" w:rsidRDefault="00C32891" w:rsidP="00C32891">
      <w:pPr>
        <w:pStyle w:val="Prrafodelista"/>
        <w:numPr>
          <w:ilvl w:val="0"/>
          <w:numId w:val="2"/>
        </w:num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P</w:t>
      </w:r>
      <w:r w:rsidRPr="00684788">
        <w:rPr>
          <w:rFonts w:ascii="Palatino Linotype" w:hAnsi="Palatino Linotype" w:cs="Arial"/>
          <w:sz w:val="24"/>
          <w:szCs w:val="24"/>
          <w:lang w:val="es-ES"/>
        </w:rPr>
        <w:t xml:space="preserve">ara responder a la solicitud de acceso a la información </w:t>
      </w:r>
      <w:r>
        <w:rPr>
          <w:rFonts w:ascii="Palatino Linotype" w:hAnsi="Palatino Linotype" w:cs="Arial"/>
          <w:sz w:val="24"/>
          <w:szCs w:val="24"/>
          <w:lang w:val="es-ES"/>
        </w:rPr>
        <w:t xml:space="preserve">el Sujeto Obligado deberá </w:t>
      </w:r>
      <w:r w:rsidRPr="00684788">
        <w:rPr>
          <w:rFonts w:ascii="Palatino Linotype" w:hAnsi="Palatino Linotype" w:cs="Arial"/>
          <w:sz w:val="24"/>
          <w:szCs w:val="24"/>
          <w:lang w:val="es-ES"/>
        </w:rPr>
        <w:t>verificar si esta corresponde a una facultad, competencia o función explícita o implícita</w:t>
      </w:r>
      <w:r>
        <w:rPr>
          <w:rFonts w:ascii="Palatino Linotype" w:hAnsi="Palatino Linotype" w:cs="Arial"/>
          <w:sz w:val="24"/>
          <w:szCs w:val="24"/>
          <w:lang w:val="es-ES"/>
        </w:rPr>
        <w:t xml:space="preserve"> y una vez</w:t>
      </w:r>
      <w:r w:rsidRPr="00684788">
        <w:rPr>
          <w:rFonts w:ascii="Palatino Linotype" w:hAnsi="Palatino Linotype" w:cs="Arial"/>
          <w:sz w:val="24"/>
          <w:szCs w:val="24"/>
          <w:lang w:val="es-ES"/>
        </w:rPr>
        <w:t xml:space="preserve"> que la información sea localizada, los servidores públicos habilitados deberán de valorar si se entrega en su totalidad, en versión pública o si es </w:t>
      </w:r>
      <w:r w:rsidRPr="007528B1">
        <w:rPr>
          <w:rFonts w:ascii="Palatino Linotype" w:hAnsi="Palatino Linotype" w:cs="Arial"/>
          <w:sz w:val="24"/>
          <w:szCs w:val="24"/>
          <w:lang w:val="es-ES"/>
        </w:rPr>
        <w:t xml:space="preserve">susceptible de clasificarse. </w:t>
      </w:r>
    </w:p>
    <w:p w:rsidR="00C32891" w:rsidRDefault="00C32891" w:rsidP="00C32891">
      <w:pPr>
        <w:pStyle w:val="Prrafodelista"/>
        <w:spacing w:before="240" w:after="240" w:line="360" w:lineRule="auto"/>
        <w:ind w:left="360"/>
        <w:jc w:val="both"/>
        <w:rPr>
          <w:rFonts w:ascii="Palatino Linotype" w:hAnsi="Palatino Linotype" w:cs="Arial"/>
          <w:sz w:val="24"/>
          <w:szCs w:val="24"/>
          <w:lang w:val="es-ES"/>
        </w:rPr>
      </w:pPr>
    </w:p>
    <w:p w:rsidR="00C32891" w:rsidRDefault="001C2D8C" w:rsidP="00C32891">
      <w:pPr>
        <w:pStyle w:val="Prrafodelista"/>
        <w:numPr>
          <w:ilvl w:val="0"/>
          <w:numId w:val="2"/>
        </w:num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rPr>
        <w:t>Cuando el</w:t>
      </w:r>
      <w:r w:rsidR="00C32891">
        <w:rPr>
          <w:rFonts w:ascii="Palatino Linotype" w:hAnsi="Palatino Linotype" w:cs="Arial"/>
          <w:sz w:val="24"/>
          <w:szCs w:val="24"/>
        </w:rPr>
        <w:t xml:space="preserve"> el Instituto </w:t>
      </w:r>
      <w:r>
        <w:rPr>
          <w:rFonts w:ascii="Palatino Linotype" w:hAnsi="Palatino Linotype" w:cs="Arial"/>
          <w:sz w:val="24"/>
          <w:szCs w:val="24"/>
        </w:rPr>
        <w:t>determine</w:t>
      </w:r>
      <w:r w:rsidR="00C32891" w:rsidRPr="00786073">
        <w:rPr>
          <w:rFonts w:ascii="Palatino Linotype" w:hAnsi="Palatino Linotype" w:cs="Arial"/>
          <w:sz w:val="24"/>
          <w:szCs w:val="24"/>
        </w:rPr>
        <w:t xml:space="preserve"> que se trata de información confidencial, </w:t>
      </w:r>
      <w:r w:rsidR="00C32891">
        <w:rPr>
          <w:rFonts w:ascii="Palatino Linotype" w:hAnsi="Palatino Linotype" w:cs="Arial"/>
          <w:sz w:val="24"/>
          <w:szCs w:val="24"/>
        </w:rPr>
        <w:t xml:space="preserve">debe hacer del conocimiento del recurrente </w:t>
      </w:r>
      <w:r>
        <w:rPr>
          <w:rFonts w:ascii="Palatino Linotype" w:hAnsi="Palatino Linotype" w:cs="Arial"/>
          <w:sz w:val="24"/>
          <w:szCs w:val="24"/>
        </w:rPr>
        <w:t xml:space="preserve">que el caso de que la resolución le cause algún perjuicio podrá interponer el recurso de revisión ante </w:t>
      </w:r>
      <w:r w:rsidR="00C32891" w:rsidRPr="00786073">
        <w:rPr>
          <w:rFonts w:ascii="Palatino Linotype" w:hAnsi="Palatino Linotype" w:cs="Arial"/>
          <w:sz w:val="24"/>
          <w:szCs w:val="24"/>
        </w:rPr>
        <w:t xml:space="preserve"> Instituto Nacional de Transparencia, Acceso a la Información Pública y Protección de Datos P</w:t>
      </w:r>
      <w:r>
        <w:rPr>
          <w:rFonts w:ascii="Palatino Linotype" w:hAnsi="Palatino Linotype" w:cs="Arial"/>
          <w:sz w:val="24"/>
          <w:szCs w:val="24"/>
        </w:rPr>
        <w:t>ersonales, mismo que puede</w:t>
      </w:r>
      <w:r w:rsidR="00C32891" w:rsidRPr="00786073">
        <w:rPr>
          <w:rFonts w:ascii="Palatino Linotype" w:hAnsi="Palatino Linotype" w:cs="Arial"/>
          <w:sz w:val="24"/>
          <w:szCs w:val="24"/>
        </w:rPr>
        <w:t xml:space="preserve"> iniciarse a través de la Plata</w:t>
      </w:r>
      <w:r w:rsidR="00C32891">
        <w:rPr>
          <w:rFonts w:ascii="Palatino Linotype" w:hAnsi="Palatino Linotype" w:cs="Arial"/>
          <w:sz w:val="24"/>
          <w:szCs w:val="24"/>
        </w:rPr>
        <w:t xml:space="preserve">forma Nacional de Transparencia. </w:t>
      </w:r>
    </w:p>
    <w:p w:rsidR="00FE083B" w:rsidRDefault="00FE083B" w:rsidP="00FE083B">
      <w:pPr>
        <w:spacing w:line="360" w:lineRule="auto"/>
        <w:jc w:val="both"/>
        <w:rPr>
          <w:rFonts w:ascii="Palatino Linotype" w:hAnsi="Palatino Linotype" w:cs="Arial"/>
        </w:rPr>
      </w:pPr>
    </w:p>
    <w:p w:rsidR="001C2D8C" w:rsidRDefault="001C2D8C" w:rsidP="00FE083B">
      <w:pPr>
        <w:spacing w:line="360" w:lineRule="auto"/>
        <w:jc w:val="both"/>
        <w:rPr>
          <w:rFonts w:ascii="Palatino Linotype" w:hAnsi="Palatino Linotype" w:cs="Arial"/>
        </w:rPr>
      </w:pPr>
    </w:p>
    <w:p w:rsidR="00D214EE" w:rsidRPr="00877AE6" w:rsidRDefault="00D214EE" w:rsidP="00376456">
      <w:pPr>
        <w:spacing w:after="0" w:line="360" w:lineRule="auto"/>
        <w:jc w:val="both"/>
        <w:rPr>
          <w:rFonts w:ascii="Palatino Linotype" w:eastAsia="Calibri" w:hAnsi="Palatino Linotype" w:cs="Arial"/>
          <w:sz w:val="24"/>
          <w:szCs w:val="24"/>
        </w:rPr>
      </w:pPr>
    </w:p>
    <w:p w:rsidR="009C382C" w:rsidRPr="00877AE6" w:rsidRDefault="00FE083B" w:rsidP="00C20346">
      <w:pPr>
        <w:pStyle w:val="TtulodeTDC"/>
        <w:spacing w:line="360" w:lineRule="auto"/>
        <w:jc w:val="center"/>
        <w:rPr>
          <w:rFonts w:ascii="Palatino Linotype" w:hAnsi="Palatino Linotype" w:cs="Arial"/>
          <w:b/>
          <w:color w:val="auto"/>
          <w:sz w:val="24"/>
          <w:szCs w:val="24"/>
        </w:rPr>
      </w:pPr>
      <w:r w:rsidRPr="00877AE6">
        <w:rPr>
          <w:rFonts w:ascii="Palatino Linotype" w:hAnsi="Palatino Linotype" w:cs="Arial"/>
          <w:b/>
          <w:color w:val="auto"/>
          <w:sz w:val="24"/>
          <w:szCs w:val="24"/>
        </w:rPr>
        <w:lastRenderedPageBreak/>
        <w:t>ÍNDICE</w:t>
      </w:r>
    </w:p>
    <w:sdt>
      <w:sdtPr>
        <w:rPr>
          <w:rFonts w:ascii="Palatino Linotype" w:hAnsi="Palatino Linotype"/>
          <w:sz w:val="24"/>
          <w:szCs w:val="24"/>
          <w:lang w:val="es-ES"/>
        </w:rPr>
        <w:id w:val="-1628690016"/>
        <w:docPartObj>
          <w:docPartGallery w:val="Table of Contents"/>
          <w:docPartUnique/>
        </w:docPartObj>
      </w:sdtPr>
      <w:sdtEndPr>
        <w:rPr>
          <w:b/>
          <w:bCs/>
        </w:rPr>
      </w:sdtEndPr>
      <w:sdtContent>
        <w:p w:rsidR="001C2D8C" w:rsidRDefault="009C382C">
          <w:pPr>
            <w:pStyle w:val="TDC1"/>
            <w:rPr>
              <w:rFonts w:eastAsiaTheme="minorEastAsia"/>
              <w:noProof/>
              <w:lang w:eastAsia="es-MX"/>
            </w:rPr>
          </w:pPr>
          <w:r w:rsidRPr="00FE083B">
            <w:rPr>
              <w:rFonts w:ascii="Palatino Linotype" w:hAnsi="Palatino Linotype"/>
              <w:color w:val="0D0D0D" w:themeColor="text1" w:themeTint="F2"/>
              <w:sz w:val="24"/>
              <w:szCs w:val="24"/>
            </w:rPr>
            <w:fldChar w:fldCharType="begin"/>
          </w:r>
          <w:r w:rsidRPr="00FE083B">
            <w:rPr>
              <w:rFonts w:ascii="Palatino Linotype" w:hAnsi="Palatino Linotype"/>
              <w:color w:val="0D0D0D" w:themeColor="text1" w:themeTint="F2"/>
              <w:sz w:val="24"/>
              <w:szCs w:val="24"/>
            </w:rPr>
            <w:instrText xml:space="preserve"> TOC \o "1-3" \h \z \u </w:instrText>
          </w:r>
          <w:r w:rsidRPr="00FE083B">
            <w:rPr>
              <w:rFonts w:ascii="Palatino Linotype" w:hAnsi="Palatino Linotype"/>
              <w:color w:val="0D0D0D" w:themeColor="text1" w:themeTint="F2"/>
              <w:sz w:val="24"/>
              <w:szCs w:val="24"/>
            </w:rPr>
            <w:fldChar w:fldCharType="separate"/>
          </w:r>
          <w:hyperlink w:anchor="_Toc1392333" w:history="1">
            <w:r w:rsidR="001C2D8C" w:rsidRPr="00313BFF">
              <w:rPr>
                <w:rStyle w:val="Hipervnculo"/>
                <w:rFonts w:ascii="Palatino Linotype" w:eastAsia="Times New Roman" w:hAnsi="Palatino Linotype"/>
                <w:b/>
                <w:noProof/>
              </w:rPr>
              <w:t>I.</w:t>
            </w:r>
            <w:r w:rsidR="001C2D8C">
              <w:rPr>
                <w:rFonts w:eastAsiaTheme="minorEastAsia"/>
                <w:noProof/>
                <w:lang w:eastAsia="es-MX"/>
              </w:rPr>
              <w:tab/>
            </w:r>
            <w:r w:rsidR="001C2D8C" w:rsidRPr="00313BFF">
              <w:rPr>
                <w:rStyle w:val="Hipervnculo"/>
                <w:rFonts w:ascii="Palatino Linotype" w:eastAsia="Times New Roman" w:hAnsi="Palatino Linotype"/>
                <w:b/>
                <w:noProof/>
              </w:rPr>
              <w:t>Consideraciones Generales</w:t>
            </w:r>
            <w:r w:rsidR="001C2D8C">
              <w:rPr>
                <w:noProof/>
                <w:webHidden/>
              </w:rPr>
              <w:tab/>
            </w:r>
            <w:r w:rsidR="001C2D8C">
              <w:rPr>
                <w:noProof/>
                <w:webHidden/>
              </w:rPr>
              <w:fldChar w:fldCharType="begin"/>
            </w:r>
            <w:r w:rsidR="001C2D8C">
              <w:rPr>
                <w:noProof/>
                <w:webHidden/>
              </w:rPr>
              <w:instrText xml:space="preserve"> PAGEREF _Toc1392333 \h </w:instrText>
            </w:r>
            <w:r w:rsidR="001C2D8C">
              <w:rPr>
                <w:noProof/>
                <w:webHidden/>
              </w:rPr>
            </w:r>
            <w:r w:rsidR="001C2D8C">
              <w:rPr>
                <w:noProof/>
                <w:webHidden/>
              </w:rPr>
              <w:fldChar w:fldCharType="separate"/>
            </w:r>
            <w:r w:rsidR="007528B1">
              <w:rPr>
                <w:noProof/>
                <w:webHidden/>
              </w:rPr>
              <w:t>3</w:t>
            </w:r>
            <w:r w:rsidR="001C2D8C">
              <w:rPr>
                <w:noProof/>
                <w:webHidden/>
              </w:rPr>
              <w:fldChar w:fldCharType="end"/>
            </w:r>
          </w:hyperlink>
        </w:p>
        <w:p w:rsidR="001C2D8C" w:rsidRDefault="00974D0B">
          <w:pPr>
            <w:pStyle w:val="TDC1"/>
            <w:rPr>
              <w:rFonts w:eastAsiaTheme="minorEastAsia"/>
              <w:noProof/>
              <w:lang w:eastAsia="es-MX"/>
            </w:rPr>
          </w:pPr>
          <w:hyperlink w:anchor="_Toc1392334" w:history="1">
            <w:r w:rsidR="001C2D8C" w:rsidRPr="00313BFF">
              <w:rPr>
                <w:rStyle w:val="Hipervnculo"/>
                <w:rFonts w:ascii="Palatino Linotype" w:eastAsia="Calibri" w:hAnsi="Palatino Linotype"/>
                <w:b/>
                <w:noProof/>
                <w:lang w:val="es-ES"/>
              </w:rPr>
              <w:t>II.</w:t>
            </w:r>
            <w:r w:rsidR="001C2D8C">
              <w:rPr>
                <w:rFonts w:eastAsiaTheme="minorEastAsia"/>
                <w:noProof/>
                <w:lang w:eastAsia="es-MX"/>
              </w:rPr>
              <w:tab/>
            </w:r>
            <w:r w:rsidR="001C2D8C" w:rsidRPr="00313BFF">
              <w:rPr>
                <w:rStyle w:val="Hipervnculo"/>
                <w:rFonts w:ascii="Palatino Linotype" w:eastAsia="Calibri" w:hAnsi="Palatino Linotype"/>
                <w:b/>
                <w:noProof/>
                <w:lang w:val="es-ES"/>
              </w:rPr>
              <w:t>De los requerimientos planteados en el recurso de revisión.</w:t>
            </w:r>
            <w:r w:rsidR="001C2D8C">
              <w:rPr>
                <w:noProof/>
                <w:webHidden/>
              </w:rPr>
              <w:tab/>
            </w:r>
            <w:r w:rsidR="001C2D8C">
              <w:rPr>
                <w:noProof/>
                <w:webHidden/>
              </w:rPr>
              <w:fldChar w:fldCharType="begin"/>
            </w:r>
            <w:r w:rsidR="001C2D8C">
              <w:rPr>
                <w:noProof/>
                <w:webHidden/>
              </w:rPr>
              <w:instrText xml:space="preserve"> PAGEREF _Toc1392334 \h </w:instrText>
            </w:r>
            <w:r w:rsidR="001C2D8C">
              <w:rPr>
                <w:noProof/>
                <w:webHidden/>
              </w:rPr>
            </w:r>
            <w:r w:rsidR="001C2D8C">
              <w:rPr>
                <w:noProof/>
                <w:webHidden/>
              </w:rPr>
              <w:fldChar w:fldCharType="separate"/>
            </w:r>
            <w:r w:rsidR="007528B1">
              <w:rPr>
                <w:noProof/>
                <w:webHidden/>
              </w:rPr>
              <w:t>4</w:t>
            </w:r>
            <w:r w:rsidR="001C2D8C">
              <w:rPr>
                <w:noProof/>
                <w:webHidden/>
              </w:rPr>
              <w:fldChar w:fldCharType="end"/>
            </w:r>
          </w:hyperlink>
        </w:p>
        <w:p w:rsidR="001C2D8C" w:rsidRDefault="00974D0B">
          <w:pPr>
            <w:pStyle w:val="TDC1"/>
            <w:rPr>
              <w:rFonts w:eastAsiaTheme="minorEastAsia"/>
              <w:noProof/>
              <w:lang w:eastAsia="es-MX"/>
            </w:rPr>
          </w:pPr>
          <w:hyperlink w:anchor="_Toc1392335" w:history="1">
            <w:r w:rsidR="001C2D8C" w:rsidRPr="00313BFF">
              <w:rPr>
                <w:rStyle w:val="Hipervnculo"/>
                <w:rFonts w:ascii="Palatino Linotype" w:hAnsi="Palatino Linotype"/>
                <w:b/>
                <w:noProof/>
              </w:rPr>
              <w:t>III.</w:t>
            </w:r>
            <w:r w:rsidR="001C2D8C">
              <w:rPr>
                <w:rFonts w:eastAsiaTheme="minorEastAsia"/>
                <w:noProof/>
                <w:lang w:eastAsia="es-MX"/>
              </w:rPr>
              <w:tab/>
            </w:r>
            <w:r w:rsidR="001C2D8C" w:rsidRPr="00313BFF">
              <w:rPr>
                <w:rStyle w:val="Hipervnculo"/>
                <w:rFonts w:ascii="Palatino Linotype" w:hAnsi="Palatino Linotype"/>
                <w:b/>
                <w:noProof/>
              </w:rPr>
              <w:t>De la respuesta del Sujeto Obligado.</w:t>
            </w:r>
            <w:r w:rsidR="001C2D8C">
              <w:rPr>
                <w:noProof/>
                <w:webHidden/>
              </w:rPr>
              <w:tab/>
            </w:r>
            <w:r w:rsidR="001C2D8C">
              <w:rPr>
                <w:noProof/>
                <w:webHidden/>
              </w:rPr>
              <w:fldChar w:fldCharType="begin"/>
            </w:r>
            <w:r w:rsidR="001C2D8C">
              <w:rPr>
                <w:noProof/>
                <w:webHidden/>
              </w:rPr>
              <w:instrText xml:space="preserve"> PAGEREF _Toc1392335 \h </w:instrText>
            </w:r>
            <w:r w:rsidR="001C2D8C">
              <w:rPr>
                <w:noProof/>
                <w:webHidden/>
              </w:rPr>
            </w:r>
            <w:r w:rsidR="001C2D8C">
              <w:rPr>
                <w:noProof/>
                <w:webHidden/>
              </w:rPr>
              <w:fldChar w:fldCharType="separate"/>
            </w:r>
            <w:r w:rsidR="007528B1">
              <w:rPr>
                <w:noProof/>
                <w:webHidden/>
              </w:rPr>
              <w:t>6</w:t>
            </w:r>
            <w:r w:rsidR="001C2D8C">
              <w:rPr>
                <w:noProof/>
                <w:webHidden/>
              </w:rPr>
              <w:fldChar w:fldCharType="end"/>
            </w:r>
          </w:hyperlink>
        </w:p>
        <w:p w:rsidR="001C2D8C" w:rsidRDefault="00974D0B">
          <w:pPr>
            <w:pStyle w:val="TDC1"/>
            <w:rPr>
              <w:rFonts w:eastAsiaTheme="minorEastAsia"/>
              <w:noProof/>
              <w:lang w:eastAsia="es-MX"/>
            </w:rPr>
          </w:pPr>
          <w:hyperlink w:anchor="_Toc1392336" w:history="1">
            <w:r w:rsidR="001C2D8C" w:rsidRPr="00313BFF">
              <w:rPr>
                <w:rStyle w:val="Hipervnculo"/>
                <w:rFonts w:ascii="Palatino Linotype" w:hAnsi="Palatino Linotype" w:cs="Arial"/>
                <w:b/>
                <w:noProof/>
              </w:rPr>
              <w:t>IV.</w:t>
            </w:r>
            <w:r w:rsidR="001C2D8C">
              <w:rPr>
                <w:rFonts w:eastAsiaTheme="minorEastAsia"/>
                <w:noProof/>
                <w:lang w:eastAsia="es-MX"/>
              </w:rPr>
              <w:tab/>
            </w:r>
            <w:r w:rsidR="001C2D8C" w:rsidRPr="00313BFF">
              <w:rPr>
                <w:rStyle w:val="Hipervnculo"/>
                <w:rFonts w:ascii="Palatino Linotype" w:hAnsi="Palatino Linotype" w:cs="Arial"/>
                <w:b/>
                <w:noProof/>
              </w:rPr>
              <w:t>De la clasificación de la información.</w:t>
            </w:r>
            <w:r w:rsidR="001C2D8C">
              <w:rPr>
                <w:noProof/>
                <w:webHidden/>
              </w:rPr>
              <w:tab/>
            </w:r>
            <w:r w:rsidR="001C2D8C">
              <w:rPr>
                <w:noProof/>
                <w:webHidden/>
              </w:rPr>
              <w:fldChar w:fldCharType="begin"/>
            </w:r>
            <w:r w:rsidR="001C2D8C">
              <w:rPr>
                <w:noProof/>
                <w:webHidden/>
              </w:rPr>
              <w:instrText xml:space="preserve"> PAGEREF _Toc1392336 \h </w:instrText>
            </w:r>
            <w:r w:rsidR="001C2D8C">
              <w:rPr>
                <w:noProof/>
                <w:webHidden/>
              </w:rPr>
            </w:r>
            <w:r w:rsidR="001C2D8C">
              <w:rPr>
                <w:noProof/>
                <w:webHidden/>
              </w:rPr>
              <w:fldChar w:fldCharType="separate"/>
            </w:r>
            <w:r w:rsidR="007528B1">
              <w:rPr>
                <w:noProof/>
                <w:webHidden/>
              </w:rPr>
              <w:t>8</w:t>
            </w:r>
            <w:r w:rsidR="001C2D8C">
              <w:rPr>
                <w:noProof/>
                <w:webHidden/>
              </w:rPr>
              <w:fldChar w:fldCharType="end"/>
            </w:r>
          </w:hyperlink>
        </w:p>
        <w:p w:rsidR="009C382C" w:rsidRPr="00877AE6" w:rsidRDefault="009C382C" w:rsidP="00FE083B">
          <w:pPr>
            <w:spacing w:line="480" w:lineRule="auto"/>
            <w:rPr>
              <w:rFonts w:ascii="Palatino Linotype" w:hAnsi="Palatino Linotype"/>
              <w:sz w:val="24"/>
              <w:szCs w:val="24"/>
            </w:rPr>
          </w:pPr>
          <w:r w:rsidRPr="00FE083B">
            <w:rPr>
              <w:rFonts w:ascii="Palatino Linotype" w:hAnsi="Palatino Linotype"/>
              <w:b/>
              <w:bCs/>
              <w:color w:val="0D0D0D" w:themeColor="text1" w:themeTint="F2"/>
              <w:sz w:val="24"/>
              <w:szCs w:val="24"/>
              <w:lang w:val="es-ES"/>
            </w:rPr>
            <w:fldChar w:fldCharType="end"/>
          </w:r>
        </w:p>
      </w:sdtContent>
    </w:sdt>
    <w:p w:rsidR="008F7805" w:rsidRPr="00877AE6" w:rsidRDefault="008F7805" w:rsidP="008F7805">
      <w:pPr>
        <w:pStyle w:val="Ttulo1"/>
        <w:rPr>
          <w:rFonts w:ascii="Palatino Linotype" w:eastAsia="Times New Roman" w:hAnsi="Palatino Linotype"/>
          <w:b/>
          <w:sz w:val="24"/>
          <w:szCs w:val="24"/>
        </w:rPr>
      </w:pPr>
    </w:p>
    <w:bookmarkStart w:id="0" w:name="_Toc526786187"/>
    <w:bookmarkStart w:id="1" w:name="_Toc527381339"/>
    <w:p w:rsidR="008F7805" w:rsidRPr="00877AE6" w:rsidRDefault="00C20346" w:rsidP="008F7805">
      <w:pPr>
        <w:rPr>
          <w:rFonts w:ascii="Palatino Linotype" w:hAnsi="Palatino Linotype"/>
          <w:sz w:val="24"/>
          <w:szCs w:val="24"/>
        </w:rPr>
      </w:pPr>
      <w:r w:rsidRPr="00877AE6">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678A4DFD" wp14:editId="3FDEC272">
                <wp:simplePos x="0" y="0"/>
                <wp:positionH relativeFrom="column">
                  <wp:posOffset>27940</wp:posOffset>
                </wp:positionH>
                <wp:positionV relativeFrom="paragraph">
                  <wp:posOffset>9828</wp:posOffset>
                </wp:positionV>
                <wp:extent cx="5369357" cy="4476903"/>
                <wp:effectExtent l="0" t="0" r="22225" b="19050"/>
                <wp:wrapNone/>
                <wp:docPr id="3" name="Conector recto 3"/>
                <wp:cNvGraphicFramePr/>
                <a:graphic xmlns:a="http://schemas.openxmlformats.org/drawingml/2006/main">
                  <a:graphicData uri="http://schemas.microsoft.com/office/word/2010/wordprocessingShape">
                    <wps:wsp>
                      <wps:cNvCnPr/>
                      <wps:spPr>
                        <a:xfrm>
                          <a:off x="0" y="0"/>
                          <a:ext cx="5369357" cy="447690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651A1F" id="Conector rec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75pt" to="425pt,3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" strokecolor="black [3200]" strokeweight=".5pt">
                <v:stroke joinstyle="miter"/>
              </v:line>
            </w:pict>
          </mc:Fallback>
        </mc:AlternateContent>
      </w:r>
      <w:bookmarkEnd w:id="0"/>
      <w:bookmarkEnd w:id="1"/>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8F7805" w:rsidRPr="00877AE6" w:rsidRDefault="008F7805"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0C6443" w:rsidRPr="00877AE6" w:rsidRDefault="000C6443" w:rsidP="008F7805">
      <w:pPr>
        <w:rPr>
          <w:rFonts w:ascii="Palatino Linotype" w:hAnsi="Palatino Linotype"/>
          <w:sz w:val="24"/>
          <w:szCs w:val="24"/>
        </w:rPr>
      </w:pPr>
    </w:p>
    <w:p w:rsidR="008F7805" w:rsidRDefault="008F7805" w:rsidP="008F7805">
      <w:pPr>
        <w:rPr>
          <w:rFonts w:ascii="Palatino Linotype" w:hAnsi="Palatino Linotype"/>
          <w:sz w:val="24"/>
          <w:szCs w:val="24"/>
        </w:rPr>
      </w:pPr>
    </w:p>
    <w:p w:rsidR="001C2D8C" w:rsidRPr="00877AE6" w:rsidRDefault="001C2D8C" w:rsidP="008F7805">
      <w:pPr>
        <w:rPr>
          <w:rFonts w:ascii="Palatino Linotype" w:hAnsi="Palatino Linotype"/>
          <w:sz w:val="24"/>
          <w:szCs w:val="24"/>
        </w:rPr>
      </w:pPr>
    </w:p>
    <w:p w:rsidR="000D5AEA" w:rsidRPr="00877AE6" w:rsidRDefault="000D5AEA" w:rsidP="00B5044C">
      <w:pPr>
        <w:pStyle w:val="Ttulo1"/>
        <w:numPr>
          <w:ilvl w:val="0"/>
          <w:numId w:val="3"/>
        </w:numPr>
        <w:rPr>
          <w:rFonts w:ascii="Palatino Linotype" w:eastAsia="Times New Roman" w:hAnsi="Palatino Linotype"/>
          <w:b/>
          <w:sz w:val="24"/>
          <w:szCs w:val="24"/>
        </w:rPr>
      </w:pPr>
      <w:bookmarkStart w:id="2" w:name="_Toc1392333"/>
      <w:r w:rsidRPr="00877AE6">
        <w:rPr>
          <w:rFonts w:ascii="Palatino Linotype" w:eastAsia="Times New Roman" w:hAnsi="Palatino Linotype"/>
          <w:b/>
          <w:color w:val="auto"/>
          <w:sz w:val="24"/>
          <w:szCs w:val="24"/>
        </w:rPr>
        <w:lastRenderedPageBreak/>
        <w:t>Consideraciones Generales</w:t>
      </w:r>
      <w:bookmarkEnd w:id="2"/>
    </w:p>
    <w:p w:rsidR="003D1DF8" w:rsidRPr="003D1DF8" w:rsidRDefault="003D1DF8" w:rsidP="003D1DF8">
      <w:pPr>
        <w:spacing w:after="0" w:line="360" w:lineRule="auto"/>
        <w:ind w:left="360"/>
        <w:contextualSpacing/>
        <w:jc w:val="both"/>
        <w:rPr>
          <w:rFonts w:ascii="Palatino Linotype" w:eastAsia="Calibri" w:hAnsi="Palatino Linotype" w:cs="Arial"/>
          <w:sz w:val="24"/>
          <w:szCs w:val="24"/>
        </w:rPr>
      </w:pPr>
    </w:p>
    <w:p w:rsidR="000D5AEA" w:rsidRPr="00877AE6" w:rsidRDefault="00B418D3" w:rsidP="00B5044C">
      <w:pPr>
        <w:numPr>
          <w:ilvl w:val="0"/>
          <w:numId w:val="2"/>
        </w:numPr>
        <w:spacing w:after="0" w:line="360" w:lineRule="auto"/>
        <w:contextualSpacing/>
        <w:jc w:val="both"/>
        <w:rPr>
          <w:rFonts w:ascii="Palatino Linotype" w:eastAsia="Calibri" w:hAnsi="Palatino Linotype" w:cs="Arial"/>
          <w:sz w:val="24"/>
          <w:szCs w:val="24"/>
        </w:rPr>
      </w:pPr>
      <w:r w:rsidRPr="00877AE6">
        <w:rPr>
          <w:rFonts w:ascii="Palatino Linotype" w:eastAsia="Times New Roman" w:hAnsi="Palatino Linotype" w:cs="Arial"/>
          <w:sz w:val="24"/>
          <w:szCs w:val="24"/>
          <w:lang w:val="es-ES_tradnl"/>
        </w:rPr>
        <w:t>He concurrido con mi voto</w:t>
      </w:r>
      <w:r w:rsidR="000D5AEA" w:rsidRPr="00877AE6">
        <w:rPr>
          <w:rFonts w:ascii="Palatino Linotype" w:eastAsia="Times New Roman" w:hAnsi="Palatino Linotype" w:cs="Arial"/>
          <w:sz w:val="24"/>
          <w:szCs w:val="24"/>
          <w:lang w:val="es-ES_tradnl"/>
        </w:rPr>
        <w:t xml:space="preserve"> particular de la presente resolución emitida </w:t>
      </w:r>
      <w:r w:rsidR="000D5AEA" w:rsidRPr="00877AE6">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656A65">
        <w:rPr>
          <w:rFonts w:ascii="Palatino Linotype" w:eastAsia="Calibri" w:hAnsi="Palatino Linotype" w:cs="Arial"/>
          <w:sz w:val="24"/>
          <w:szCs w:val="24"/>
        </w:rPr>
        <w:t>sexta</w:t>
      </w:r>
      <w:r w:rsidR="001759E6" w:rsidRPr="00C743FE">
        <w:rPr>
          <w:rFonts w:ascii="Palatino Linotype" w:eastAsia="Calibri" w:hAnsi="Palatino Linotype" w:cs="Arial"/>
          <w:sz w:val="24"/>
          <w:szCs w:val="24"/>
        </w:rPr>
        <w:t xml:space="preserve"> </w:t>
      </w:r>
      <w:r w:rsidR="004137A7" w:rsidRPr="00C743FE">
        <w:rPr>
          <w:rFonts w:ascii="Palatino Linotype" w:eastAsia="Calibri" w:hAnsi="Palatino Linotype" w:cs="Arial"/>
          <w:sz w:val="24"/>
          <w:szCs w:val="24"/>
        </w:rPr>
        <w:t xml:space="preserve">Sesión </w:t>
      </w:r>
      <w:r w:rsidR="004B0239" w:rsidRPr="00C743FE">
        <w:rPr>
          <w:rFonts w:ascii="Palatino Linotype" w:eastAsia="Calibri" w:hAnsi="Palatino Linotype" w:cs="Arial"/>
          <w:sz w:val="24"/>
          <w:szCs w:val="24"/>
        </w:rPr>
        <w:t xml:space="preserve">Ordinaria </w:t>
      </w:r>
      <w:r w:rsidR="004137A7" w:rsidRPr="00C743FE">
        <w:rPr>
          <w:rFonts w:ascii="Palatino Linotype" w:eastAsia="Calibri" w:hAnsi="Palatino Linotype" w:cs="Arial"/>
          <w:sz w:val="24"/>
          <w:szCs w:val="24"/>
        </w:rPr>
        <w:t xml:space="preserve">celebrada el </w:t>
      </w:r>
      <w:r w:rsidR="004B0239" w:rsidRPr="00C743FE">
        <w:rPr>
          <w:rFonts w:ascii="Palatino Linotype" w:eastAsia="Calibri" w:hAnsi="Palatino Linotype" w:cs="Arial"/>
          <w:sz w:val="24"/>
          <w:szCs w:val="24"/>
        </w:rPr>
        <w:t xml:space="preserve">del día </w:t>
      </w:r>
      <w:r w:rsidR="00656A65">
        <w:rPr>
          <w:rFonts w:ascii="Palatino Linotype" w:eastAsia="Calibri" w:hAnsi="Palatino Linotype" w:cs="Arial"/>
          <w:sz w:val="24"/>
          <w:szCs w:val="24"/>
        </w:rPr>
        <w:t>trece</w:t>
      </w:r>
      <w:r w:rsidR="004B0239" w:rsidRPr="00C743FE">
        <w:rPr>
          <w:rFonts w:ascii="Palatino Linotype" w:eastAsia="Calibri" w:hAnsi="Palatino Linotype" w:cs="Arial"/>
          <w:sz w:val="24"/>
          <w:szCs w:val="24"/>
        </w:rPr>
        <w:t xml:space="preserve"> </w:t>
      </w:r>
      <w:r w:rsidR="005E38D6" w:rsidRPr="00C743FE">
        <w:rPr>
          <w:rFonts w:ascii="Palatino Linotype" w:eastAsia="Calibri" w:hAnsi="Palatino Linotype" w:cs="Arial"/>
          <w:sz w:val="24"/>
          <w:szCs w:val="24"/>
        </w:rPr>
        <w:t>(</w:t>
      </w:r>
      <w:r w:rsidR="00656A65">
        <w:rPr>
          <w:rFonts w:ascii="Palatino Linotype" w:eastAsia="Calibri" w:hAnsi="Palatino Linotype" w:cs="Arial"/>
          <w:sz w:val="24"/>
          <w:szCs w:val="24"/>
        </w:rPr>
        <w:t>13</w:t>
      </w:r>
      <w:r w:rsidR="004137A7" w:rsidRPr="00C743FE">
        <w:rPr>
          <w:rFonts w:ascii="Palatino Linotype" w:eastAsia="Calibri" w:hAnsi="Palatino Linotype" w:cs="Arial"/>
          <w:sz w:val="24"/>
          <w:szCs w:val="24"/>
        </w:rPr>
        <w:t>)</w:t>
      </w:r>
      <w:r w:rsidR="004B0239" w:rsidRPr="00877AE6">
        <w:rPr>
          <w:rFonts w:ascii="Palatino Linotype" w:eastAsia="Calibri" w:hAnsi="Palatino Linotype" w:cs="Arial"/>
          <w:sz w:val="24"/>
          <w:szCs w:val="24"/>
        </w:rPr>
        <w:t xml:space="preserve"> de</w:t>
      </w:r>
      <w:r w:rsidR="004137A7" w:rsidRPr="00877AE6">
        <w:rPr>
          <w:rFonts w:ascii="Palatino Linotype" w:eastAsia="Calibri" w:hAnsi="Palatino Linotype" w:cs="Arial"/>
          <w:sz w:val="24"/>
          <w:szCs w:val="24"/>
        </w:rPr>
        <w:t xml:space="preserve"> </w:t>
      </w:r>
      <w:r w:rsidR="00656A65">
        <w:rPr>
          <w:rFonts w:ascii="Palatino Linotype" w:eastAsia="Calibri" w:hAnsi="Palatino Linotype" w:cs="Arial"/>
          <w:sz w:val="24"/>
          <w:szCs w:val="24"/>
        </w:rPr>
        <w:t>febrero del año dos mil nueve</w:t>
      </w:r>
      <w:r w:rsidR="004B0239" w:rsidRPr="00877AE6">
        <w:rPr>
          <w:rFonts w:ascii="Palatino Linotype" w:eastAsia="Calibri" w:hAnsi="Palatino Linotype" w:cs="Arial"/>
          <w:sz w:val="24"/>
          <w:szCs w:val="24"/>
        </w:rPr>
        <w:t>, en el recurso de revisión</w:t>
      </w:r>
      <w:r w:rsidR="000D5AEA" w:rsidRPr="00877AE6">
        <w:rPr>
          <w:rFonts w:ascii="Palatino Linotype" w:eastAsia="Calibri" w:hAnsi="Palatino Linotype" w:cs="Arial"/>
          <w:sz w:val="24"/>
          <w:szCs w:val="24"/>
        </w:rPr>
        <w:t xml:space="preserve"> interpuesto </w:t>
      </w:r>
      <w:r w:rsidR="004B0239" w:rsidRPr="00877AE6">
        <w:rPr>
          <w:rFonts w:ascii="Palatino Linotype" w:eastAsia="Calibri" w:hAnsi="Palatino Linotype" w:cs="Arial"/>
          <w:sz w:val="24"/>
          <w:szCs w:val="24"/>
        </w:rPr>
        <w:t xml:space="preserve">en contra de la </w:t>
      </w:r>
      <w:r w:rsidR="00656A65">
        <w:rPr>
          <w:rFonts w:ascii="Palatino Linotype" w:eastAsia="Calibri" w:hAnsi="Palatino Linotype" w:cs="Arial"/>
          <w:sz w:val="24"/>
          <w:szCs w:val="24"/>
        </w:rPr>
        <w:t>falta de respuesta</w:t>
      </w:r>
      <w:r w:rsidR="004B0239" w:rsidRPr="00877AE6">
        <w:rPr>
          <w:rFonts w:ascii="Palatino Linotype" w:eastAsia="Calibri" w:hAnsi="Palatino Linotype" w:cs="Arial"/>
          <w:sz w:val="24"/>
          <w:szCs w:val="24"/>
        </w:rPr>
        <w:t xml:space="preserve"> del</w:t>
      </w:r>
      <w:r w:rsidR="00E469EB" w:rsidRPr="00877AE6">
        <w:rPr>
          <w:rFonts w:ascii="Palatino Linotype" w:eastAsia="Times New Roman" w:hAnsi="Palatino Linotype" w:cs="Arial"/>
          <w:b/>
          <w:sz w:val="24"/>
          <w:szCs w:val="24"/>
          <w:lang w:val="es-ES" w:eastAsia="es-ES"/>
        </w:rPr>
        <w:t xml:space="preserve"> </w:t>
      </w:r>
      <w:r w:rsidR="003D1DF8">
        <w:rPr>
          <w:rFonts w:ascii="Palatino Linotype" w:hAnsi="Palatino Linotype" w:cs="Arial"/>
          <w:b/>
          <w:sz w:val="24"/>
          <w:szCs w:val="24"/>
        </w:rPr>
        <w:t xml:space="preserve">Ayuntamiento de </w:t>
      </w:r>
      <w:r w:rsidR="00656A65">
        <w:rPr>
          <w:rFonts w:ascii="Palatino Linotype" w:hAnsi="Palatino Linotype" w:cs="Arial"/>
          <w:b/>
          <w:sz w:val="24"/>
          <w:szCs w:val="24"/>
        </w:rPr>
        <w:t>Nicolás Romero</w:t>
      </w:r>
      <w:r w:rsidR="00E469EB" w:rsidRPr="00877AE6">
        <w:rPr>
          <w:rFonts w:ascii="Palatino Linotype" w:eastAsia="Times New Roman" w:hAnsi="Palatino Linotype" w:cs="Arial"/>
          <w:b/>
          <w:sz w:val="24"/>
          <w:szCs w:val="24"/>
          <w:lang w:val="es-ES" w:eastAsia="es-ES"/>
        </w:rPr>
        <w:t>,</w:t>
      </w:r>
      <w:r w:rsidR="000D5AEA" w:rsidRPr="00877AE6">
        <w:rPr>
          <w:rFonts w:ascii="Palatino Linotype" w:eastAsia="Calibri" w:hAnsi="Palatino Linotype" w:cs="Arial"/>
          <w:b/>
          <w:sz w:val="24"/>
          <w:szCs w:val="24"/>
        </w:rPr>
        <w:t xml:space="preserve"> </w:t>
      </w:r>
      <w:r w:rsidR="000D5AEA" w:rsidRPr="00877AE6">
        <w:rPr>
          <w:rFonts w:ascii="Palatino Linotype" w:eastAsia="Calibri" w:hAnsi="Palatino Linotype" w:cs="Arial"/>
          <w:sz w:val="24"/>
          <w:szCs w:val="24"/>
        </w:rPr>
        <w:t>pro</w:t>
      </w:r>
      <w:r w:rsidR="00902FFF" w:rsidRPr="00877AE6">
        <w:rPr>
          <w:rFonts w:ascii="Palatino Linotype" w:eastAsia="Calibri" w:hAnsi="Palatino Linotype" w:cs="Arial"/>
          <w:sz w:val="24"/>
          <w:szCs w:val="24"/>
        </w:rPr>
        <w:t xml:space="preserve">cedimiento que le fue asignado </w:t>
      </w:r>
      <w:r w:rsidR="00581E2F" w:rsidRPr="00877AE6">
        <w:rPr>
          <w:rFonts w:ascii="Palatino Linotype" w:eastAsia="Calibri" w:hAnsi="Palatino Linotype" w:cs="Arial"/>
          <w:sz w:val="24"/>
          <w:szCs w:val="24"/>
        </w:rPr>
        <w:t>e</w:t>
      </w:r>
      <w:r w:rsidR="000D5AEA" w:rsidRPr="00877AE6">
        <w:rPr>
          <w:rFonts w:ascii="Palatino Linotype" w:eastAsia="Calibri" w:hAnsi="Palatino Linotype" w:cs="Arial"/>
          <w:sz w:val="24"/>
          <w:szCs w:val="24"/>
        </w:rPr>
        <w:t>l número</w:t>
      </w:r>
      <w:r w:rsidR="004B0239" w:rsidRPr="00877AE6">
        <w:rPr>
          <w:rFonts w:ascii="Palatino Linotype" w:eastAsia="Calibri" w:hAnsi="Palatino Linotype" w:cs="Arial"/>
          <w:sz w:val="24"/>
          <w:szCs w:val="24"/>
        </w:rPr>
        <w:t xml:space="preserve"> de expediente </w:t>
      </w:r>
      <w:r w:rsidR="003D1DF8">
        <w:rPr>
          <w:rFonts w:ascii="Palatino Linotype" w:hAnsi="Palatino Linotype"/>
          <w:b/>
          <w:sz w:val="24"/>
          <w:szCs w:val="24"/>
        </w:rPr>
        <w:t>0</w:t>
      </w:r>
      <w:r w:rsidR="00656A65">
        <w:rPr>
          <w:rFonts w:ascii="Palatino Linotype" w:hAnsi="Palatino Linotype"/>
          <w:b/>
          <w:sz w:val="24"/>
          <w:szCs w:val="24"/>
        </w:rPr>
        <w:t>0207</w:t>
      </w:r>
      <w:r w:rsidR="003D1DF8">
        <w:rPr>
          <w:rFonts w:ascii="Palatino Linotype" w:hAnsi="Palatino Linotype"/>
          <w:b/>
          <w:sz w:val="24"/>
          <w:szCs w:val="24"/>
        </w:rPr>
        <w:t>/INFOEM/IP/RR/201</w:t>
      </w:r>
      <w:r w:rsidR="00656A65">
        <w:rPr>
          <w:rFonts w:ascii="Palatino Linotype" w:hAnsi="Palatino Linotype"/>
          <w:b/>
          <w:sz w:val="24"/>
          <w:szCs w:val="24"/>
        </w:rPr>
        <w:t>9</w:t>
      </w:r>
      <w:r w:rsidR="000D5AEA" w:rsidRPr="00877AE6">
        <w:rPr>
          <w:rFonts w:ascii="Palatino Linotype" w:eastAsia="Calibri" w:hAnsi="Palatino Linotype" w:cs="Arial"/>
          <w:b/>
          <w:sz w:val="24"/>
          <w:szCs w:val="24"/>
        </w:rPr>
        <w:t>.</w:t>
      </w:r>
    </w:p>
    <w:p w:rsidR="000D5AEA" w:rsidRPr="00877AE6" w:rsidRDefault="000D5AEA" w:rsidP="000D5AEA">
      <w:pPr>
        <w:spacing w:after="0" w:line="360" w:lineRule="auto"/>
        <w:ind w:left="426"/>
        <w:contextualSpacing/>
        <w:jc w:val="both"/>
        <w:rPr>
          <w:rFonts w:ascii="Palatino Linotype" w:eastAsia="Calibri" w:hAnsi="Palatino Linotype" w:cs="Arial"/>
          <w:sz w:val="24"/>
          <w:szCs w:val="24"/>
        </w:rPr>
      </w:pPr>
    </w:p>
    <w:p w:rsidR="00E23078" w:rsidRPr="00E23078" w:rsidRDefault="000D5AEA" w:rsidP="00D00AD3">
      <w:pPr>
        <w:numPr>
          <w:ilvl w:val="0"/>
          <w:numId w:val="2"/>
        </w:numPr>
        <w:spacing w:after="0" w:line="360" w:lineRule="auto"/>
        <w:contextualSpacing/>
        <w:jc w:val="both"/>
        <w:rPr>
          <w:rFonts w:ascii="Palatino Linotype" w:hAnsi="Palatino Linotype"/>
          <w:sz w:val="24"/>
          <w:szCs w:val="24"/>
        </w:rPr>
      </w:pPr>
      <w:r w:rsidRPr="003D1DF8">
        <w:rPr>
          <w:rFonts w:ascii="Palatino Linotype" w:eastAsia="Calibri" w:hAnsi="Palatino Linotype" w:cs="Arial"/>
          <w:sz w:val="24"/>
          <w:szCs w:val="24"/>
        </w:rPr>
        <w:t>L</w:t>
      </w:r>
      <w:r w:rsidR="004B0239" w:rsidRPr="003D1DF8">
        <w:rPr>
          <w:rFonts w:ascii="Palatino Linotype" w:eastAsia="Calibri" w:hAnsi="Palatino Linotype" w:cs="Arial"/>
          <w:sz w:val="24"/>
          <w:szCs w:val="24"/>
        </w:rPr>
        <w:t xml:space="preserve">a resolución </w:t>
      </w:r>
      <w:r w:rsidR="00B87397">
        <w:rPr>
          <w:rFonts w:ascii="Palatino Linotype" w:eastAsia="Calibri" w:hAnsi="Palatino Linotype" w:cs="Arial"/>
          <w:sz w:val="24"/>
          <w:szCs w:val="24"/>
        </w:rPr>
        <w:t>determinó</w:t>
      </w:r>
      <w:r w:rsidR="00362134" w:rsidRPr="003D1DF8">
        <w:rPr>
          <w:rFonts w:ascii="Palatino Linotype" w:hAnsi="Palatino Linotype" w:cs="Arial"/>
          <w:sz w:val="24"/>
          <w:szCs w:val="24"/>
          <w:lang w:val="es-ES_tradnl"/>
        </w:rPr>
        <w:t xml:space="preserve">, </w:t>
      </w:r>
      <w:r w:rsidR="00B87397">
        <w:rPr>
          <w:rFonts w:ascii="Palatino Linotype" w:hAnsi="Palatino Linotype" w:cs="Arial"/>
          <w:sz w:val="24"/>
          <w:szCs w:val="24"/>
          <w:lang w:val="es-ES_tradnl"/>
        </w:rPr>
        <w:t>ordenar al Sujeto Obligado atender la solicitud de información y hacer entrega del Acuerdo que apruebe el Comité de Transparencia mediante el cual clasifique como confidencial el documento en donde conste la ubicación, de acuerdo al plano manzanero del inmueble referido en la solicitud</w:t>
      </w:r>
      <w:r w:rsidR="00E23078">
        <w:rPr>
          <w:rFonts w:ascii="Palatino Linotype" w:hAnsi="Palatino Linotype" w:cs="Arial"/>
          <w:sz w:val="24"/>
          <w:szCs w:val="24"/>
          <w:lang w:val="es-ES_tradnl"/>
        </w:rPr>
        <w:t>.</w:t>
      </w:r>
    </w:p>
    <w:p w:rsidR="00E23078" w:rsidRDefault="00E23078" w:rsidP="00E23078">
      <w:pPr>
        <w:pStyle w:val="Prrafodelista"/>
        <w:rPr>
          <w:rFonts w:ascii="Palatino Linotype" w:hAnsi="Palatino Linotype" w:cs="Arial"/>
          <w:sz w:val="24"/>
          <w:szCs w:val="24"/>
          <w:lang w:val="es-ES_tradnl"/>
        </w:rPr>
      </w:pPr>
    </w:p>
    <w:p w:rsidR="003D1DF8" w:rsidRPr="004E1D27" w:rsidRDefault="00E23078" w:rsidP="00D00AD3">
      <w:pPr>
        <w:numPr>
          <w:ilvl w:val="0"/>
          <w:numId w:val="2"/>
        </w:numPr>
        <w:spacing w:after="0" w:line="360" w:lineRule="auto"/>
        <w:contextualSpacing/>
        <w:jc w:val="both"/>
        <w:rPr>
          <w:rFonts w:ascii="Palatino Linotype" w:hAnsi="Palatino Linotype"/>
          <w:sz w:val="24"/>
          <w:szCs w:val="24"/>
        </w:rPr>
      </w:pPr>
      <w:r>
        <w:rPr>
          <w:rFonts w:ascii="Palatino Linotype" w:hAnsi="Palatino Linotype" w:cs="Arial"/>
          <w:sz w:val="24"/>
          <w:szCs w:val="24"/>
          <w:lang w:val="es-ES_tradnl"/>
        </w:rPr>
        <w:t>Asimismo,</w:t>
      </w:r>
      <w:r w:rsidR="00B87397">
        <w:rPr>
          <w:rFonts w:ascii="Palatino Linotype" w:hAnsi="Palatino Linotype" w:cs="Arial"/>
          <w:sz w:val="24"/>
          <w:szCs w:val="24"/>
          <w:lang w:val="es-ES_tradnl"/>
        </w:rPr>
        <w:t xml:space="preserve"> en el resolutivo QUINTO ordena hacer del conocimiento de la recurrente, que de conformidad con el artículo 196 de la Ley de Transparencia y Acceso a la Información Pública del Estado de México y Municipios, podrá impugnarla vía Juicio de Amparo en los términos de las leyes aplicables; resolutivo, en el que la Ponencia </w:t>
      </w:r>
      <w:proofErr w:type="spellStart"/>
      <w:r w:rsidR="00B87397">
        <w:rPr>
          <w:rFonts w:ascii="Palatino Linotype" w:hAnsi="Palatino Linotype" w:cs="Arial"/>
          <w:sz w:val="24"/>
          <w:szCs w:val="24"/>
          <w:lang w:val="es-ES_tradnl"/>
        </w:rPr>
        <w:t>resolutora</w:t>
      </w:r>
      <w:proofErr w:type="spellEnd"/>
      <w:r w:rsidR="00B87397">
        <w:rPr>
          <w:rFonts w:ascii="Palatino Linotype" w:hAnsi="Palatino Linotype" w:cs="Arial"/>
          <w:sz w:val="24"/>
          <w:szCs w:val="24"/>
          <w:lang w:val="es-ES_tradnl"/>
        </w:rPr>
        <w:t xml:space="preserve"> omitió </w:t>
      </w:r>
      <w:r>
        <w:rPr>
          <w:rFonts w:ascii="Palatino Linotype" w:hAnsi="Palatino Linotype" w:cs="Arial"/>
          <w:sz w:val="24"/>
          <w:szCs w:val="24"/>
          <w:lang w:val="es-ES_tradnl"/>
        </w:rPr>
        <w:t xml:space="preserve">agregar los artículos 159 y 160 de la Ley General de Transparencia y Acceso a la Información Pública relativos </w:t>
      </w:r>
      <w:r>
        <w:rPr>
          <w:rFonts w:ascii="Palatino Linotype" w:hAnsi="Palatino Linotype" w:cs="Arial"/>
          <w:sz w:val="24"/>
          <w:szCs w:val="24"/>
          <w:lang w:val="es-ES_tradnl"/>
        </w:rPr>
        <w:lastRenderedPageBreak/>
        <w:t xml:space="preserve">a la interposición del recurso de inconformidad ante el Instituto Nacional de Transparencia, Acceso a la Información y Protección de Datos Personales. </w:t>
      </w:r>
    </w:p>
    <w:p w:rsidR="004E1D27" w:rsidRDefault="004E1D27" w:rsidP="004E1D27">
      <w:pPr>
        <w:pStyle w:val="Prrafodelista"/>
        <w:rPr>
          <w:rFonts w:ascii="Palatino Linotype" w:hAnsi="Palatino Linotype"/>
          <w:sz w:val="24"/>
          <w:szCs w:val="24"/>
        </w:rPr>
      </w:pPr>
    </w:p>
    <w:p w:rsidR="004E1D27" w:rsidRPr="00B10C1A" w:rsidRDefault="004E1D27" w:rsidP="004E1D27">
      <w:pPr>
        <w:numPr>
          <w:ilvl w:val="0"/>
          <w:numId w:val="2"/>
        </w:numPr>
        <w:spacing w:after="0" w:line="360" w:lineRule="auto"/>
        <w:contextualSpacing/>
        <w:jc w:val="both"/>
        <w:rPr>
          <w:rFonts w:ascii="Palatino Linotype" w:hAnsi="Palatino Linotype" w:cs="Arial"/>
          <w:sz w:val="24"/>
          <w:szCs w:val="24"/>
        </w:rPr>
      </w:pPr>
      <w:r w:rsidRPr="004E1D27">
        <w:rPr>
          <w:rFonts w:ascii="Palatino Linotype" w:hAnsi="Palatino Linotype" w:cs="Arial"/>
          <w:sz w:val="24"/>
          <w:szCs w:val="24"/>
          <w:lang w:val="es-ES_tradnl"/>
        </w:rPr>
        <w:t>Por</w:t>
      </w:r>
      <w:r w:rsidRPr="00B10C1A">
        <w:rPr>
          <w:rFonts w:ascii="Palatino Linotype"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w:t>
      </w:r>
      <w:r>
        <w:rPr>
          <w:rFonts w:ascii="Palatino Linotype" w:hAnsi="Palatino Linotype" w:cs="Arial"/>
          <w:sz w:val="24"/>
          <w:szCs w:val="24"/>
        </w:rPr>
        <w:t>v</w:t>
      </w:r>
      <w:r w:rsidRPr="00B10C1A">
        <w:rPr>
          <w:rFonts w:ascii="Palatino Linotype" w:hAnsi="Palatino Linotype" w:cs="Arial"/>
          <w:sz w:val="24"/>
          <w:szCs w:val="24"/>
        </w:rPr>
        <w:t xml:space="preserve">oto particular. </w:t>
      </w:r>
    </w:p>
    <w:p w:rsidR="009C382C" w:rsidRPr="00877AE6" w:rsidRDefault="009C382C" w:rsidP="00B5044C">
      <w:pPr>
        <w:pStyle w:val="Ttulo1"/>
        <w:numPr>
          <w:ilvl w:val="0"/>
          <w:numId w:val="3"/>
        </w:numPr>
        <w:ind w:hanging="654"/>
        <w:rPr>
          <w:rFonts w:ascii="Palatino Linotype" w:eastAsia="Calibri" w:hAnsi="Palatino Linotype"/>
          <w:b/>
          <w:color w:val="auto"/>
          <w:sz w:val="24"/>
          <w:szCs w:val="24"/>
          <w:lang w:val="es-ES"/>
        </w:rPr>
      </w:pPr>
      <w:bookmarkStart w:id="3" w:name="_Toc1392334"/>
      <w:r w:rsidRPr="00877AE6">
        <w:rPr>
          <w:rFonts w:ascii="Palatino Linotype" w:eastAsia="Calibri" w:hAnsi="Palatino Linotype"/>
          <w:b/>
          <w:color w:val="auto"/>
          <w:sz w:val="24"/>
          <w:szCs w:val="24"/>
          <w:lang w:val="es-ES"/>
        </w:rPr>
        <w:t>De los requerimientos planteados en el recurso de revisión.</w:t>
      </w:r>
      <w:bookmarkEnd w:id="3"/>
    </w:p>
    <w:p w:rsidR="001744A9" w:rsidRPr="00877AE6" w:rsidRDefault="001744A9" w:rsidP="001744A9">
      <w:pPr>
        <w:pStyle w:val="Prrafodelista"/>
        <w:rPr>
          <w:rFonts w:ascii="Palatino Linotype" w:eastAsia="Calibri" w:hAnsi="Palatino Linotype" w:cs="Arial"/>
          <w:sz w:val="24"/>
          <w:szCs w:val="24"/>
          <w:lang w:val="es-ES"/>
        </w:rPr>
      </w:pPr>
    </w:p>
    <w:p w:rsidR="00D70E0E" w:rsidRPr="00877AE6" w:rsidRDefault="009C382C" w:rsidP="00A7237E">
      <w:pPr>
        <w:numPr>
          <w:ilvl w:val="0"/>
          <w:numId w:val="2"/>
        </w:numPr>
        <w:spacing w:after="0" w:line="360" w:lineRule="auto"/>
        <w:contextualSpacing/>
        <w:jc w:val="both"/>
        <w:rPr>
          <w:rFonts w:ascii="Palatino Linotype" w:eastAsia="Calibri" w:hAnsi="Palatino Linotype" w:cs="Arial"/>
          <w:sz w:val="24"/>
          <w:szCs w:val="24"/>
          <w:lang w:val="es-ES"/>
        </w:rPr>
      </w:pPr>
      <w:r w:rsidRPr="00877AE6">
        <w:rPr>
          <w:rFonts w:ascii="Palatino Linotype" w:eastAsia="Calibri" w:hAnsi="Palatino Linotype" w:cs="Arial"/>
          <w:sz w:val="24"/>
          <w:szCs w:val="24"/>
          <w:lang w:val="es-ES"/>
        </w:rPr>
        <w:t xml:space="preserve">En </w:t>
      </w:r>
      <w:r w:rsidRPr="00877AE6">
        <w:rPr>
          <w:rFonts w:ascii="Palatino Linotype" w:eastAsia="Calibri" w:hAnsi="Palatino Linotype" w:cs="Times New Roman"/>
          <w:sz w:val="24"/>
          <w:szCs w:val="24"/>
        </w:rPr>
        <w:t>ejercicio del derecho constitucional que le asiste al particular</w:t>
      </w:r>
      <w:r w:rsidR="00032D26" w:rsidRPr="00877AE6">
        <w:rPr>
          <w:rFonts w:ascii="Palatino Linotype" w:eastAsia="Calibri" w:hAnsi="Palatino Linotype" w:cs="Times New Roman"/>
          <w:sz w:val="24"/>
          <w:szCs w:val="24"/>
        </w:rPr>
        <w:t>,</w:t>
      </w:r>
      <w:r w:rsidRPr="00877AE6">
        <w:rPr>
          <w:rFonts w:ascii="Palatino Linotype" w:eastAsia="Calibri" w:hAnsi="Palatino Linotype" w:cs="Times New Roman"/>
          <w:sz w:val="24"/>
          <w:szCs w:val="24"/>
        </w:rPr>
        <w:t xml:space="preserve"> formuló solicitud de información dirigida hacia el </w:t>
      </w:r>
      <w:r w:rsidR="00A7237E">
        <w:rPr>
          <w:rFonts w:ascii="Palatino Linotype" w:hAnsi="Palatino Linotype" w:cs="Arial"/>
          <w:b/>
          <w:szCs w:val="20"/>
        </w:rPr>
        <w:t>Ayuntamiento de Nicolás Romero</w:t>
      </w:r>
      <w:r w:rsidRPr="00877AE6">
        <w:rPr>
          <w:rFonts w:ascii="Palatino Linotype" w:eastAsia="Calibri" w:hAnsi="Palatino Linotype" w:cs="Times New Roman"/>
          <w:sz w:val="24"/>
          <w:szCs w:val="24"/>
        </w:rPr>
        <w:t>, en dicha</w:t>
      </w:r>
      <w:r w:rsidR="00902FFF" w:rsidRPr="00877AE6">
        <w:rPr>
          <w:rFonts w:ascii="Palatino Linotype" w:eastAsia="Calibri" w:hAnsi="Palatino Linotype" w:cs="Times New Roman"/>
          <w:sz w:val="24"/>
          <w:szCs w:val="24"/>
        </w:rPr>
        <w:t xml:space="preserve"> solicitud planteó lo siguiente:</w:t>
      </w:r>
    </w:p>
    <w:p w:rsidR="00630750" w:rsidRPr="00877AE6" w:rsidRDefault="00630750" w:rsidP="00630750">
      <w:pPr>
        <w:spacing w:after="0" w:line="360" w:lineRule="auto"/>
        <w:ind w:left="426"/>
        <w:contextualSpacing/>
        <w:jc w:val="both"/>
        <w:rPr>
          <w:rFonts w:ascii="Palatino Linotype" w:eastAsia="Calibri" w:hAnsi="Palatino Linotype" w:cs="Arial"/>
          <w:sz w:val="24"/>
          <w:szCs w:val="24"/>
          <w:lang w:val="es-ES"/>
        </w:rPr>
      </w:pPr>
    </w:p>
    <w:p w:rsidR="00187610" w:rsidRPr="00877AE6" w:rsidRDefault="00187610" w:rsidP="00A766F3">
      <w:pPr>
        <w:spacing w:before="240" w:line="360" w:lineRule="auto"/>
        <w:ind w:left="348"/>
        <w:jc w:val="both"/>
        <w:rPr>
          <w:rFonts w:ascii="Palatino Linotype" w:hAnsi="Palatino Linotype" w:cs="Arial"/>
          <w:b/>
          <w:sz w:val="24"/>
          <w:szCs w:val="24"/>
        </w:rPr>
      </w:pPr>
      <w:r w:rsidRPr="00877AE6">
        <w:rPr>
          <w:rFonts w:ascii="Palatino Linotype" w:hAnsi="Palatino Linotype" w:cs="Arial"/>
          <w:b/>
          <w:sz w:val="24"/>
          <w:szCs w:val="24"/>
        </w:rPr>
        <w:t xml:space="preserve">Solicitud </w:t>
      </w:r>
      <w:r w:rsidR="003D1DF8" w:rsidRPr="003D1DF8">
        <w:rPr>
          <w:rFonts w:ascii="Palatino Linotype" w:hAnsi="Palatino Linotype"/>
          <w:b/>
          <w:bCs/>
          <w:sz w:val="24"/>
          <w:szCs w:val="24"/>
        </w:rPr>
        <w:t>00</w:t>
      </w:r>
      <w:r w:rsidR="00A7237E">
        <w:rPr>
          <w:rFonts w:ascii="Palatino Linotype" w:hAnsi="Palatino Linotype"/>
          <w:b/>
          <w:bCs/>
          <w:sz w:val="24"/>
          <w:szCs w:val="24"/>
        </w:rPr>
        <w:t>110</w:t>
      </w:r>
      <w:r w:rsidR="003D1DF8" w:rsidRPr="003D1DF8">
        <w:rPr>
          <w:rFonts w:ascii="Palatino Linotype" w:hAnsi="Palatino Linotype"/>
          <w:b/>
          <w:bCs/>
          <w:sz w:val="24"/>
          <w:szCs w:val="24"/>
        </w:rPr>
        <w:t>/N</w:t>
      </w:r>
      <w:r w:rsidR="00A7237E">
        <w:rPr>
          <w:rFonts w:ascii="Palatino Linotype" w:hAnsi="Palatino Linotype"/>
          <w:b/>
          <w:bCs/>
          <w:sz w:val="24"/>
          <w:szCs w:val="24"/>
        </w:rPr>
        <w:t>ICOROM</w:t>
      </w:r>
      <w:r w:rsidR="003D1DF8" w:rsidRPr="003D1DF8">
        <w:rPr>
          <w:rFonts w:ascii="Palatino Linotype" w:hAnsi="Palatino Linotype"/>
          <w:b/>
          <w:bCs/>
          <w:sz w:val="24"/>
          <w:szCs w:val="24"/>
        </w:rPr>
        <w:t>/IP/2018</w:t>
      </w:r>
      <w:r w:rsidRPr="00877AE6">
        <w:rPr>
          <w:rFonts w:ascii="Palatino Linotype" w:hAnsi="Palatino Linotype" w:cs="Arial"/>
          <w:b/>
          <w:sz w:val="24"/>
          <w:szCs w:val="24"/>
        </w:rPr>
        <w:t>:</w:t>
      </w:r>
    </w:p>
    <w:p w:rsidR="00362134" w:rsidRPr="00877AE6" w:rsidRDefault="00362134" w:rsidP="00362134">
      <w:pPr>
        <w:spacing w:before="80" w:after="120"/>
        <w:ind w:left="709" w:right="709"/>
        <w:jc w:val="both"/>
        <w:rPr>
          <w:rFonts w:ascii="Palatino Linotype" w:hAnsi="Palatino Linotype"/>
          <w:sz w:val="24"/>
          <w:szCs w:val="24"/>
        </w:rPr>
      </w:pPr>
      <w:r w:rsidRPr="00877AE6">
        <w:rPr>
          <w:rFonts w:ascii="Palatino Linotype" w:hAnsi="Palatino Linotype" w:cs="Arial"/>
          <w:i/>
          <w:sz w:val="24"/>
          <w:szCs w:val="24"/>
        </w:rPr>
        <w:t>“</w:t>
      </w:r>
      <w:r w:rsidR="00A7237E" w:rsidRPr="00A7237E">
        <w:rPr>
          <w:rFonts w:ascii="Palatino Linotype" w:hAnsi="Palatino Linotype" w:cs="Arial"/>
          <w:i/>
          <w:sz w:val="24"/>
          <w:szCs w:val="24"/>
        </w:rPr>
        <w:t xml:space="preserve">La </w:t>
      </w:r>
      <w:proofErr w:type="spellStart"/>
      <w:r w:rsidR="00A7237E" w:rsidRPr="00A7237E">
        <w:rPr>
          <w:rFonts w:ascii="Palatino Linotype" w:hAnsi="Palatino Linotype" w:cs="Arial"/>
          <w:i/>
          <w:sz w:val="24"/>
          <w:szCs w:val="24"/>
        </w:rPr>
        <w:t>ubicacioon</w:t>
      </w:r>
      <w:proofErr w:type="spellEnd"/>
      <w:r w:rsidR="00A7237E" w:rsidRPr="00A7237E">
        <w:rPr>
          <w:rFonts w:ascii="Palatino Linotype" w:hAnsi="Palatino Linotype" w:cs="Arial"/>
          <w:i/>
          <w:sz w:val="24"/>
          <w:szCs w:val="24"/>
        </w:rPr>
        <w:t xml:space="preserve"> de acuerdo al plano manzanero, del inmueble que se identifica con el número de cuenta predial </w:t>
      </w:r>
      <w:r w:rsidR="00762A8E" w:rsidRPr="00762A8E">
        <w:rPr>
          <w:rFonts w:ascii="Palatino Linotype" w:hAnsi="Palatino Linotype" w:cs="Arial"/>
          <w:i/>
          <w:sz w:val="24"/>
          <w:szCs w:val="24"/>
          <w:highlight w:val="black"/>
        </w:rPr>
        <w:t>----------------------</w:t>
      </w:r>
      <w:r w:rsidR="00A7237E" w:rsidRPr="00A7237E">
        <w:rPr>
          <w:rFonts w:ascii="Palatino Linotype" w:hAnsi="Palatino Linotype" w:cs="Arial"/>
          <w:i/>
          <w:sz w:val="24"/>
          <w:szCs w:val="24"/>
        </w:rPr>
        <w:t xml:space="preserve">, denominado Monte Bajo, ubicado </w:t>
      </w:r>
      <w:r w:rsidR="00762A8E" w:rsidRPr="00762A8E">
        <w:rPr>
          <w:rFonts w:ascii="Palatino Linotype" w:hAnsi="Palatino Linotype" w:cs="Arial"/>
          <w:i/>
          <w:sz w:val="24"/>
          <w:szCs w:val="24"/>
          <w:highlight w:val="black"/>
        </w:rPr>
        <w:t>---------------------------------------------</w:t>
      </w:r>
      <w:r w:rsidR="00A7237E" w:rsidRPr="00A7237E">
        <w:rPr>
          <w:rFonts w:ascii="Palatino Linotype" w:hAnsi="Palatino Linotype" w:cs="Arial"/>
          <w:i/>
          <w:sz w:val="24"/>
          <w:szCs w:val="24"/>
        </w:rPr>
        <w:t xml:space="preserve">, municipio de </w:t>
      </w:r>
      <w:r w:rsidR="00762A8E" w:rsidRPr="00762A8E">
        <w:rPr>
          <w:rFonts w:ascii="Palatino Linotype" w:hAnsi="Palatino Linotype" w:cs="Arial"/>
          <w:i/>
          <w:sz w:val="24"/>
          <w:szCs w:val="24"/>
          <w:highlight w:val="black"/>
        </w:rPr>
        <w:t>-------------------</w:t>
      </w:r>
      <w:r w:rsidR="00A7237E" w:rsidRPr="00A7237E">
        <w:rPr>
          <w:rFonts w:ascii="Palatino Linotype" w:hAnsi="Palatino Linotype" w:cs="Arial"/>
          <w:i/>
          <w:sz w:val="24"/>
          <w:szCs w:val="24"/>
        </w:rPr>
        <w:t>, Estado de México</w:t>
      </w:r>
      <w:r w:rsidR="003D1DF8" w:rsidRPr="003D1DF8">
        <w:rPr>
          <w:rFonts w:ascii="Palatino Linotype" w:hAnsi="Palatino Linotype" w:cs="Arial"/>
          <w:i/>
          <w:sz w:val="24"/>
          <w:szCs w:val="24"/>
        </w:rPr>
        <w:t>.</w:t>
      </w:r>
      <w:r w:rsidRPr="00877AE6">
        <w:rPr>
          <w:rFonts w:ascii="Palatino Linotype" w:hAnsi="Palatino Linotype" w:cs="Arial"/>
          <w:i/>
          <w:sz w:val="24"/>
          <w:szCs w:val="24"/>
        </w:rPr>
        <w:t xml:space="preserve">” </w:t>
      </w:r>
      <w:r w:rsidRPr="00877AE6">
        <w:rPr>
          <w:rFonts w:ascii="Palatino Linotype" w:hAnsi="Palatino Linotype"/>
          <w:sz w:val="24"/>
          <w:szCs w:val="24"/>
        </w:rPr>
        <w:t>(Sic).</w:t>
      </w:r>
    </w:p>
    <w:p w:rsidR="00187610" w:rsidRPr="00877AE6" w:rsidRDefault="00187610" w:rsidP="00A766F3">
      <w:pPr>
        <w:ind w:left="1199" w:right="900"/>
        <w:jc w:val="both"/>
        <w:rPr>
          <w:rFonts w:ascii="Palatino Linotype" w:hAnsi="Palatino Linotype"/>
          <w:i/>
          <w:color w:val="000000"/>
          <w:sz w:val="24"/>
          <w:szCs w:val="24"/>
        </w:rPr>
      </w:pPr>
    </w:p>
    <w:p w:rsidR="00A766F3" w:rsidRPr="00877AE6" w:rsidRDefault="00113051" w:rsidP="00A7237E">
      <w:pPr>
        <w:numPr>
          <w:ilvl w:val="0"/>
          <w:numId w:val="2"/>
        </w:numPr>
        <w:spacing w:after="0" w:line="360" w:lineRule="auto"/>
        <w:contextualSpacing/>
        <w:jc w:val="both"/>
        <w:rPr>
          <w:rFonts w:ascii="Palatino Linotype" w:hAnsi="Palatino Linotype" w:cs="Arial"/>
          <w:sz w:val="24"/>
          <w:szCs w:val="24"/>
        </w:rPr>
      </w:pPr>
      <w:r>
        <w:rPr>
          <w:rFonts w:ascii="Palatino Linotype" w:eastAsia="Calibri" w:hAnsi="Palatino Linotype" w:cs="Arial"/>
          <w:sz w:val="24"/>
          <w:szCs w:val="24"/>
          <w:lang w:val="es-ES"/>
        </w:rPr>
        <w:t>E</w:t>
      </w:r>
      <w:r w:rsidR="00A766F3" w:rsidRPr="00877AE6">
        <w:rPr>
          <w:rFonts w:ascii="Palatino Linotype" w:hAnsi="Palatino Linotype" w:cs="Arial"/>
          <w:sz w:val="24"/>
          <w:szCs w:val="24"/>
        </w:rPr>
        <w:t xml:space="preserve">l solicitante </w:t>
      </w:r>
      <w:r>
        <w:rPr>
          <w:rFonts w:ascii="Palatino Linotype" w:hAnsi="Palatino Linotype" w:cs="Arial"/>
          <w:sz w:val="24"/>
          <w:szCs w:val="24"/>
        </w:rPr>
        <w:t xml:space="preserve">inconforme con </w:t>
      </w:r>
      <w:r w:rsidR="00A766F3" w:rsidRPr="00877AE6">
        <w:rPr>
          <w:rFonts w:ascii="Palatino Linotype" w:hAnsi="Palatino Linotype" w:cs="Arial"/>
          <w:sz w:val="24"/>
          <w:szCs w:val="24"/>
        </w:rPr>
        <w:t xml:space="preserve">la </w:t>
      </w:r>
      <w:r>
        <w:rPr>
          <w:rFonts w:ascii="Palatino Linotype" w:hAnsi="Palatino Linotype" w:cs="Arial"/>
          <w:sz w:val="24"/>
          <w:szCs w:val="24"/>
        </w:rPr>
        <w:t xml:space="preserve">falta de </w:t>
      </w:r>
      <w:r w:rsidR="00A766F3" w:rsidRPr="00877AE6">
        <w:rPr>
          <w:rFonts w:ascii="Palatino Linotype" w:hAnsi="Palatino Linotype" w:cs="Arial"/>
          <w:sz w:val="24"/>
          <w:szCs w:val="24"/>
        </w:rPr>
        <w:t xml:space="preserve">respuesta por </w:t>
      </w:r>
      <w:r w:rsidR="00362134" w:rsidRPr="00877AE6">
        <w:rPr>
          <w:rFonts w:ascii="Palatino Linotype" w:hAnsi="Palatino Linotype" w:cs="Arial"/>
          <w:sz w:val="24"/>
          <w:szCs w:val="24"/>
        </w:rPr>
        <w:t>parte d</w:t>
      </w:r>
      <w:r w:rsidR="00A766F3" w:rsidRPr="00877AE6">
        <w:rPr>
          <w:rFonts w:ascii="Palatino Linotype" w:hAnsi="Palatino Linotype" w:cs="Arial"/>
          <w:sz w:val="24"/>
          <w:szCs w:val="24"/>
        </w:rPr>
        <w:t xml:space="preserve">el </w:t>
      </w:r>
      <w:r w:rsidR="00A766F3" w:rsidRPr="004E1262">
        <w:rPr>
          <w:rFonts w:ascii="Palatino Linotype" w:hAnsi="Palatino Linotype" w:cs="Arial"/>
          <w:sz w:val="24"/>
          <w:szCs w:val="24"/>
        </w:rPr>
        <w:t>Sujeto Obligado</w:t>
      </w:r>
      <w:r w:rsidR="00362134" w:rsidRPr="004E1262">
        <w:rPr>
          <w:rFonts w:ascii="Palatino Linotype" w:hAnsi="Palatino Linotype" w:cs="Arial"/>
          <w:sz w:val="24"/>
          <w:szCs w:val="24"/>
        </w:rPr>
        <w:t>,</w:t>
      </w:r>
      <w:r w:rsidR="00A766F3" w:rsidRPr="00877AE6">
        <w:rPr>
          <w:rFonts w:ascii="Palatino Linotype" w:hAnsi="Palatino Linotype" w:cs="Arial"/>
          <w:sz w:val="24"/>
          <w:szCs w:val="24"/>
        </w:rPr>
        <w:t xml:space="preserve"> interpuso </w:t>
      </w:r>
      <w:r w:rsidR="00362134" w:rsidRPr="00877AE6">
        <w:rPr>
          <w:rFonts w:ascii="Palatino Linotype" w:hAnsi="Palatino Linotype" w:cs="Arial"/>
          <w:sz w:val="24"/>
          <w:szCs w:val="24"/>
        </w:rPr>
        <w:t xml:space="preserve">el </w:t>
      </w:r>
      <w:r w:rsidR="00A766F3" w:rsidRPr="00877AE6">
        <w:rPr>
          <w:rFonts w:ascii="Palatino Linotype" w:hAnsi="Palatino Linotype" w:cs="Arial"/>
          <w:sz w:val="24"/>
          <w:szCs w:val="24"/>
        </w:rPr>
        <w:t xml:space="preserve">recurso de revisión </w:t>
      </w:r>
      <w:r w:rsidR="00362134" w:rsidRPr="00877AE6">
        <w:rPr>
          <w:rFonts w:ascii="Palatino Linotype" w:hAnsi="Palatino Linotype" w:cs="Arial"/>
          <w:sz w:val="24"/>
          <w:szCs w:val="24"/>
        </w:rPr>
        <w:t xml:space="preserve">a través del SAIMEX en fecha </w:t>
      </w:r>
      <w:r>
        <w:rPr>
          <w:rFonts w:ascii="Palatino Linotype" w:hAnsi="Palatino Linotype" w:cs="Arial"/>
          <w:sz w:val="24"/>
          <w:szCs w:val="24"/>
        </w:rPr>
        <w:t>veintiuno</w:t>
      </w:r>
      <w:r w:rsidR="004E1262">
        <w:rPr>
          <w:rFonts w:ascii="Palatino Linotype" w:hAnsi="Palatino Linotype" w:cs="Arial"/>
          <w:sz w:val="24"/>
          <w:szCs w:val="24"/>
        </w:rPr>
        <w:t xml:space="preserve"> </w:t>
      </w:r>
      <w:r w:rsidR="00362134" w:rsidRPr="00877AE6">
        <w:rPr>
          <w:rFonts w:ascii="Palatino Linotype" w:hAnsi="Palatino Linotype" w:cs="Arial"/>
          <w:sz w:val="24"/>
          <w:szCs w:val="24"/>
        </w:rPr>
        <w:t>(</w:t>
      </w:r>
      <w:r w:rsidR="004E1262">
        <w:rPr>
          <w:rFonts w:ascii="Palatino Linotype" w:hAnsi="Palatino Linotype" w:cs="Arial"/>
          <w:sz w:val="24"/>
          <w:szCs w:val="24"/>
        </w:rPr>
        <w:t>2</w:t>
      </w:r>
      <w:r>
        <w:rPr>
          <w:rFonts w:ascii="Palatino Linotype" w:hAnsi="Palatino Linotype" w:cs="Arial"/>
          <w:sz w:val="24"/>
          <w:szCs w:val="24"/>
        </w:rPr>
        <w:t>1</w:t>
      </w:r>
      <w:r w:rsidR="00362134" w:rsidRPr="00877AE6">
        <w:rPr>
          <w:rFonts w:ascii="Palatino Linotype" w:hAnsi="Palatino Linotype" w:cs="Arial"/>
          <w:sz w:val="24"/>
          <w:szCs w:val="24"/>
        </w:rPr>
        <w:t>)</w:t>
      </w:r>
      <w:r w:rsidR="00A766F3" w:rsidRPr="00877AE6">
        <w:rPr>
          <w:rFonts w:ascii="Palatino Linotype" w:hAnsi="Palatino Linotype" w:cs="Arial"/>
          <w:sz w:val="24"/>
          <w:szCs w:val="24"/>
        </w:rPr>
        <w:t xml:space="preserve"> de </w:t>
      </w:r>
      <w:r>
        <w:rPr>
          <w:rFonts w:ascii="Palatino Linotype" w:hAnsi="Palatino Linotype" w:cs="Arial"/>
          <w:sz w:val="24"/>
          <w:szCs w:val="24"/>
        </w:rPr>
        <w:t>enero</w:t>
      </w:r>
      <w:r w:rsidR="00A766F3" w:rsidRPr="00877AE6">
        <w:rPr>
          <w:rFonts w:ascii="Palatino Linotype" w:hAnsi="Palatino Linotype" w:cs="Arial"/>
          <w:sz w:val="24"/>
          <w:szCs w:val="24"/>
        </w:rPr>
        <w:t xml:space="preserve"> de d</w:t>
      </w:r>
      <w:r w:rsidR="00362134" w:rsidRPr="00877AE6">
        <w:rPr>
          <w:rFonts w:ascii="Palatino Linotype" w:hAnsi="Palatino Linotype" w:cs="Arial"/>
          <w:sz w:val="24"/>
          <w:szCs w:val="24"/>
        </w:rPr>
        <w:t>os mil dieci</w:t>
      </w:r>
      <w:r>
        <w:rPr>
          <w:rFonts w:ascii="Palatino Linotype" w:hAnsi="Palatino Linotype" w:cs="Arial"/>
          <w:sz w:val="24"/>
          <w:szCs w:val="24"/>
        </w:rPr>
        <w:t>nueve</w:t>
      </w:r>
      <w:r w:rsidR="00362134" w:rsidRPr="00877AE6">
        <w:rPr>
          <w:rFonts w:ascii="Palatino Linotype" w:hAnsi="Palatino Linotype" w:cs="Arial"/>
          <w:sz w:val="24"/>
          <w:szCs w:val="24"/>
        </w:rPr>
        <w:t>, a través del</w:t>
      </w:r>
      <w:r w:rsidR="00A766F3" w:rsidRPr="00877AE6">
        <w:rPr>
          <w:rFonts w:ascii="Palatino Linotype" w:hAnsi="Palatino Linotype" w:cs="Arial"/>
          <w:sz w:val="24"/>
          <w:szCs w:val="24"/>
        </w:rPr>
        <w:t xml:space="preserve"> cual expresó lo siguiente:</w:t>
      </w:r>
    </w:p>
    <w:p w:rsidR="00362134" w:rsidRDefault="00362134" w:rsidP="00A766F3">
      <w:pPr>
        <w:spacing w:line="360" w:lineRule="auto"/>
        <w:ind w:left="426"/>
        <w:rPr>
          <w:rFonts w:ascii="Palatino Linotype" w:hAnsi="Palatino Linotype" w:cs="Arial"/>
          <w:b/>
          <w:sz w:val="24"/>
          <w:szCs w:val="24"/>
        </w:rPr>
      </w:pPr>
    </w:p>
    <w:p w:rsidR="00A766F3" w:rsidRPr="00877AE6" w:rsidRDefault="00A766F3" w:rsidP="00A13BDF">
      <w:pPr>
        <w:spacing w:line="360" w:lineRule="auto"/>
        <w:ind w:left="709"/>
        <w:rPr>
          <w:rFonts w:ascii="Palatino Linotype" w:hAnsi="Palatino Linotype" w:cs="Arial"/>
          <w:b/>
          <w:sz w:val="24"/>
          <w:szCs w:val="24"/>
        </w:rPr>
      </w:pPr>
      <w:r w:rsidRPr="00877AE6">
        <w:rPr>
          <w:rFonts w:ascii="Palatino Linotype" w:hAnsi="Palatino Linotype" w:cs="Arial"/>
          <w:b/>
          <w:sz w:val="24"/>
          <w:szCs w:val="24"/>
        </w:rPr>
        <w:lastRenderedPageBreak/>
        <w:t>a) Acto impugnado.</w:t>
      </w:r>
    </w:p>
    <w:p w:rsidR="00362134" w:rsidRPr="00877AE6" w:rsidRDefault="00A766F3" w:rsidP="00A13BDF">
      <w:pPr>
        <w:spacing w:before="200" w:after="200"/>
        <w:ind w:left="709" w:right="709"/>
        <w:jc w:val="both"/>
        <w:rPr>
          <w:rFonts w:ascii="Palatino Linotype" w:hAnsi="Palatino Linotype" w:cs="Arial"/>
          <w:sz w:val="24"/>
          <w:szCs w:val="24"/>
          <w:lang w:eastAsia="es-MX"/>
        </w:rPr>
      </w:pPr>
      <w:r w:rsidRPr="00877AE6">
        <w:rPr>
          <w:rFonts w:ascii="Palatino Linotype" w:hAnsi="Palatino Linotype"/>
          <w:i/>
          <w:color w:val="000000"/>
          <w:sz w:val="24"/>
          <w:szCs w:val="24"/>
        </w:rPr>
        <w:t>“</w:t>
      </w:r>
      <w:r w:rsidR="00113051" w:rsidRPr="00113051">
        <w:rPr>
          <w:rFonts w:ascii="Palatino Linotype" w:hAnsi="Palatino Linotype" w:cs="Arial"/>
          <w:i/>
          <w:sz w:val="24"/>
          <w:szCs w:val="24"/>
          <w:lang w:eastAsia="es-MX"/>
        </w:rPr>
        <w:t xml:space="preserve">Interpongo en recurso de revisión por la falta de respuesta del sujeto obligado, al omitir atender el folio 00110/NICOROM/IP/2018, relativo a: “… que se me indicará de acuerdo a su mapa catastral, cuál es la ubicación del inmueble que tributa el pago del impuesto predial con el número de cuenta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y que se encuentra inscrito en el Instituto de la Función Registral del Estado de México, con el folio electrónico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registrado en la partida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volumen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libro </w:t>
      </w:r>
      <w:r w:rsidR="00303C58" w:rsidRPr="00303C58">
        <w:rPr>
          <w:rFonts w:ascii="Palatino Linotype" w:hAnsi="Palatino Linotype" w:cs="Arial"/>
          <w:i/>
          <w:sz w:val="24"/>
          <w:szCs w:val="24"/>
          <w:highlight w:val="black"/>
          <w:lang w:eastAsia="es-MX"/>
        </w:rPr>
        <w:t>XXXXX</w:t>
      </w:r>
      <w:r w:rsidR="00113051" w:rsidRPr="00113051">
        <w:rPr>
          <w:rFonts w:ascii="Palatino Linotype" w:hAnsi="Palatino Linotype" w:cs="Arial"/>
          <w:i/>
          <w:sz w:val="24"/>
          <w:szCs w:val="24"/>
          <w:lang w:eastAsia="es-MX"/>
        </w:rPr>
        <w:t xml:space="preserve">, sección </w:t>
      </w:r>
      <w:r w:rsidR="00303C58" w:rsidRPr="00303C58">
        <w:rPr>
          <w:rFonts w:ascii="Palatino Linotype" w:hAnsi="Palatino Linotype" w:cs="Arial"/>
          <w:i/>
          <w:sz w:val="24"/>
          <w:szCs w:val="24"/>
          <w:highlight w:val="black"/>
          <w:lang w:eastAsia="es-MX"/>
        </w:rPr>
        <w:t>XXXXX</w:t>
      </w:r>
      <w:r w:rsidR="00362134" w:rsidRPr="00877AE6">
        <w:rPr>
          <w:rFonts w:ascii="Palatino Linotype" w:hAnsi="Palatino Linotype" w:cs="Arial"/>
          <w:i/>
          <w:sz w:val="24"/>
          <w:szCs w:val="24"/>
          <w:lang w:eastAsia="es-MX"/>
        </w:rPr>
        <w:t xml:space="preserve">” </w:t>
      </w:r>
      <w:r w:rsidR="00362134" w:rsidRPr="00877AE6">
        <w:rPr>
          <w:rFonts w:ascii="Palatino Linotype" w:hAnsi="Palatino Linotype" w:cs="Arial"/>
          <w:sz w:val="24"/>
          <w:szCs w:val="24"/>
          <w:lang w:eastAsia="es-MX"/>
        </w:rPr>
        <w:t>(Sic)</w:t>
      </w:r>
    </w:p>
    <w:p w:rsidR="00A766F3" w:rsidRPr="00877AE6" w:rsidRDefault="00A766F3" w:rsidP="00A13BDF">
      <w:pPr>
        <w:spacing w:line="360" w:lineRule="auto"/>
        <w:ind w:left="709"/>
        <w:jc w:val="both"/>
        <w:rPr>
          <w:rFonts w:ascii="Palatino Linotype" w:hAnsi="Palatino Linotype" w:cs="Arial"/>
          <w:b/>
          <w:sz w:val="24"/>
          <w:szCs w:val="24"/>
        </w:rPr>
      </w:pPr>
      <w:r w:rsidRPr="00877AE6">
        <w:rPr>
          <w:rFonts w:ascii="Palatino Linotype" w:hAnsi="Palatino Linotype" w:cs="Arial"/>
          <w:b/>
          <w:sz w:val="24"/>
          <w:szCs w:val="24"/>
        </w:rPr>
        <w:t>b) Motivos de inconformidad.</w:t>
      </w:r>
    </w:p>
    <w:p w:rsidR="00362134" w:rsidRPr="00877AE6" w:rsidRDefault="00362134" w:rsidP="00A13BDF">
      <w:pPr>
        <w:spacing w:before="200" w:after="200"/>
        <w:ind w:left="709" w:right="709"/>
        <w:jc w:val="both"/>
        <w:rPr>
          <w:rFonts w:ascii="Palatino Linotype" w:hAnsi="Palatino Linotype" w:cs="Arial"/>
          <w:spacing w:val="-6"/>
          <w:sz w:val="24"/>
          <w:szCs w:val="24"/>
          <w:lang w:eastAsia="es-MX"/>
        </w:rPr>
      </w:pPr>
      <w:r w:rsidRPr="00877AE6">
        <w:rPr>
          <w:rFonts w:ascii="Palatino Linotype" w:hAnsi="Palatino Linotype" w:cs="Arial"/>
          <w:i/>
          <w:spacing w:val="-6"/>
          <w:sz w:val="24"/>
          <w:szCs w:val="24"/>
          <w:lang w:eastAsia="es-MX"/>
        </w:rPr>
        <w:t>“</w:t>
      </w:r>
      <w:r w:rsidR="00113051">
        <w:rPr>
          <w:rFonts w:ascii="Palatino Linotype" w:hAnsi="Palatino Linotype" w:cs="Arial"/>
          <w:i/>
          <w:spacing w:val="-6"/>
          <w:sz w:val="24"/>
          <w:szCs w:val="24"/>
          <w:lang w:eastAsia="es-MX"/>
        </w:rPr>
        <w:t>…</w:t>
      </w:r>
      <w:r w:rsidR="00113051" w:rsidRPr="00113051">
        <w:rPr>
          <w:rFonts w:ascii="Palatino Linotype" w:hAnsi="Palatino Linotype" w:cs="Arial"/>
          <w:i/>
          <w:sz w:val="24"/>
          <w:szCs w:val="24"/>
          <w:lang w:eastAsia="es-MX"/>
        </w:rPr>
        <w:t xml:space="preserve">Con fundamento en los previsto en el artículo 143 de la Ley de Transparencia y Acceso a la Información Pública Gubernamental , interpongo en recurso de revisión por la falta de respuesta del sujeto obligado, al omitir atender el folio 00110/NICOROM/IP/2018, relativo a: “… que se me indicará de acuerdo a su mapa catastral, cuál es la ubicación del inmueble que tributa el pago del impuesto predial con el número de cuenta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y que se encuentra inscrito en el Instituto de la Función Registral del Estado de México, con el folio electrónico </w:t>
      </w:r>
      <w:r w:rsidR="00762A8E" w:rsidRPr="00762A8E">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registrado en la partida </w:t>
      </w:r>
      <w:r w:rsidR="00CE1E1B" w:rsidRPr="00CE1E1B">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volumen </w:t>
      </w:r>
      <w:r w:rsidR="00CE1E1B" w:rsidRPr="00CE1E1B">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libro </w:t>
      </w:r>
      <w:r w:rsidR="00303C58" w:rsidRPr="00303C58">
        <w:rPr>
          <w:rFonts w:ascii="Palatino Linotype" w:hAnsi="Palatino Linotype" w:cs="Arial"/>
          <w:i/>
          <w:sz w:val="24"/>
          <w:szCs w:val="24"/>
          <w:highlight w:val="black"/>
          <w:lang w:eastAsia="es-MX"/>
        </w:rPr>
        <w:t>XXXX</w:t>
      </w:r>
      <w:r w:rsidR="00113051" w:rsidRPr="00113051">
        <w:rPr>
          <w:rFonts w:ascii="Palatino Linotype" w:hAnsi="Palatino Linotype" w:cs="Arial"/>
          <w:i/>
          <w:sz w:val="24"/>
          <w:szCs w:val="24"/>
          <w:lang w:eastAsia="es-MX"/>
        </w:rPr>
        <w:t xml:space="preserve">, sección </w:t>
      </w:r>
      <w:r w:rsidR="00113051" w:rsidRPr="00303C58">
        <w:rPr>
          <w:rFonts w:ascii="Palatino Linotype" w:hAnsi="Palatino Linotype" w:cs="Arial"/>
          <w:i/>
          <w:sz w:val="24"/>
          <w:szCs w:val="24"/>
          <w:highlight w:val="black"/>
          <w:lang w:eastAsia="es-MX"/>
        </w:rPr>
        <w:t>primera</w:t>
      </w:r>
      <w:r w:rsidR="00113051" w:rsidRPr="00113051">
        <w:rPr>
          <w:rFonts w:ascii="Palatino Linotype" w:hAnsi="Palatino Linotype" w:cs="Arial"/>
          <w:i/>
          <w:sz w:val="24"/>
          <w:szCs w:val="24"/>
          <w:lang w:eastAsia="es-MX"/>
        </w:rPr>
        <w:t xml:space="preserve">." Inmueble denominado: “Monte Bajo”, </w:t>
      </w:r>
      <w:r w:rsidR="00CE1E1B" w:rsidRPr="00CE1E1B">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xml:space="preserve">, Municipio de </w:t>
      </w:r>
      <w:r w:rsidR="00CE1E1B" w:rsidRPr="00CE1E1B">
        <w:rPr>
          <w:rFonts w:ascii="Palatino Linotype" w:hAnsi="Palatino Linotype" w:cs="Arial"/>
          <w:i/>
          <w:sz w:val="24"/>
          <w:szCs w:val="24"/>
          <w:highlight w:val="black"/>
          <w:lang w:eastAsia="es-MX"/>
        </w:rPr>
        <w:t>----------------------</w:t>
      </w:r>
      <w:r w:rsidR="00113051" w:rsidRPr="00113051">
        <w:rPr>
          <w:rFonts w:ascii="Palatino Linotype" w:hAnsi="Palatino Linotype" w:cs="Arial"/>
          <w:i/>
          <w:sz w:val="24"/>
          <w:szCs w:val="24"/>
          <w:lang w:eastAsia="es-MX"/>
        </w:rPr>
        <w:t>, Estado d</w:t>
      </w:r>
      <w:r w:rsidR="00113051">
        <w:rPr>
          <w:rFonts w:ascii="Palatino Linotype" w:hAnsi="Palatino Linotype" w:cs="Arial"/>
          <w:i/>
          <w:sz w:val="24"/>
          <w:szCs w:val="24"/>
          <w:lang w:eastAsia="es-MX"/>
        </w:rPr>
        <w:t>e México…”</w:t>
      </w:r>
      <w:r w:rsidRPr="00877AE6">
        <w:rPr>
          <w:rFonts w:ascii="Palatino Linotype" w:hAnsi="Palatino Linotype" w:cs="Arial"/>
          <w:i/>
          <w:spacing w:val="-6"/>
          <w:sz w:val="24"/>
          <w:szCs w:val="24"/>
          <w:lang w:eastAsia="es-MX"/>
        </w:rPr>
        <w:t xml:space="preserve"> </w:t>
      </w:r>
      <w:r w:rsidRPr="00877AE6">
        <w:rPr>
          <w:rFonts w:ascii="Palatino Linotype" w:hAnsi="Palatino Linotype" w:cs="Arial"/>
          <w:spacing w:val="-6"/>
          <w:sz w:val="24"/>
          <w:szCs w:val="24"/>
          <w:lang w:eastAsia="es-MX"/>
        </w:rPr>
        <w:t>(Sic)</w:t>
      </w:r>
      <w:bookmarkStart w:id="4" w:name="_GoBack"/>
      <w:bookmarkEnd w:id="4"/>
    </w:p>
    <w:p w:rsidR="00113051" w:rsidRPr="00113051" w:rsidRDefault="00113051" w:rsidP="00113051">
      <w:pPr>
        <w:spacing w:after="0" w:line="360" w:lineRule="auto"/>
        <w:ind w:left="360"/>
        <w:contextualSpacing/>
        <w:jc w:val="both"/>
        <w:rPr>
          <w:rFonts w:ascii="Palatino Linotype" w:eastAsia="Calibri" w:hAnsi="Palatino Linotype" w:cs="Arial"/>
          <w:sz w:val="24"/>
          <w:szCs w:val="24"/>
        </w:rPr>
      </w:pPr>
    </w:p>
    <w:p w:rsidR="000F1AD8" w:rsidRPr="00877AE6" w:rsidRDefault="00A7073D" w:rsidP="00A7237E">
      <w:pPr>
        <w:numPr>
          <w:ilvl w:val="0"/>
          <w:numId w:val="2"/>
        </w:numPr>
        <w:spacing w:after="0" w:line="360" w:lineRule="auto"/>
        <w:contextualSpacing/>
        <w:jc w:val="both"/>
        <w:rPr>
          <w:rFonts w:ascii="Palatino Linotype" w:eastAsia="Calibri" w:hAnsi="Palatino Linotype" w:cs="Arial"/>
          <w:sz w:val="24"/>
          <w:szCs w:val="24"/>
        </w:rPr>
      </w:pPr>
      <w:r w:rsidRPr="00877AE6">
        <w:rPr>
          <w:rFonts w:ascii="Palatino Linotype" w:hAnsi="Palatino Linotype" w:cs="Arial"/>
          <w:sz w:val="24"/>
          <w:szCs w:val="24"/>
        </w:rPr>
        <w:t>Bajo esas consideraciones, se advirtió que los motivos aduc</w:t>
      </w:r>
      <w:r w:rsidR="00630750" w:rsidRPr="00877AE6">
        <w:rPr>
          <w:rFonts w:ascii="Palatino Linotype" w:hAnsi="Palatino Linotype" w:cs="Arial"/>
          <w:sz w:val="24"/>
          <w:szCs w:val="24"/>
        </w:rPr>
        <w:t>idos por el recurrente, resultaban</w:t>
      </w:r>
      <w:r w:rsidRPr="00877AE6">
        <w:rPr>
          <w:rFonts w:ascii="Palatino Linotype" w:hAnsi="Palatino Linotype" w:cs="Arial"/>
          <w:sz w:val="24"/>
          <w:szCs w:val="24"/>
        </w:rPr>
        <w:t xml:space="preserve"> fundados pues efectivamente transcurrió el plazo para dar respuesta determinado por la Ley de la Materia, por lo que </w:t>
      </w:r>
      <w:r w:rsidR="00362134" w:rsidRPr="00877AE6">
        <w:rPr>
          <w:rFonts w:ascii="Palatino Linotype" w:hAnsi="Palatino Linotype" w:cs="Arial"/>
          <w:sz w:val="24"/>
          <w:szCs w:val="24"/>
        </w:rPr>
        <w:t xml:space="preserve">la Ponencia </w:t>
      </w:r>
      <w:proofErr w:type="spellStart"/>
      <w:r w:rsidR="00362134" w:rsidRPr="00877AE6">
        <w:rPr>
          <w:rFonts w:ascii="Palatino Linotype" w:hAnsi="Palatino Linotype" w:cs="Arial"/>
          <w:sz w:val="24"/>
          <w:szCs w:val="24"/>
        </w:rPr>
        <w:t>R</w:t>
      </w:r>
      <w:r w:rsidR="008C2121" w:rsidRPr="00877AE6">
        <w:rPr>
          <w:rFonts w:ascii="Palatino Linotype" w:hAnsi="Palatino Linotype" w:cs="Arial"/>
          <w:sz w:val="24"/>
          <w:szCs w:val="24"/>
        </w:rPr>
        <w:t>esolutora</w:t>
      </w:r>
      <w:proofErr w:type="spellEnd"/>
      <w:r w:rsidR="008C2121" w:rsidRPr="00877AE6">
        <w:rPr>
          <w:rFonts w:ascii="Palatino Linotype" w:hAnsi="Palatino Linotype" w:cs="Arial"/>
          <w:sz w:val="24"/>
          <w:szCs w:val="24"/>
        </w:rPr>
        <w:t xml:space="preserve"> </w:t>
      </w:r>
      <w:r w:rsidR="000F1AD8" w:rsidRPr="00877AE6">
        <w:rPr>
          <w:rFonts w:ascii="Palatino Linotype" w:hAnsi="Palatino Linotype" w:cs="Arial"/>
          <w:sz w:val="24"/>
          <w:szCs w:val="24"/>
        </w:rPr>
        <w:t>procedió al análisis del recurso</w:t>
      </w:r>
      <w:r w:rsidRPr="00877AE6">
        <w:rPr>
          <w:rFonts w:ascii="Palatino Linotype" w:hAnsi="Palatino Linotype" w:cs="Arial"/>
          <w:sz w:val="24"/>
          <w:szCs w:val="24"/>
        </w:rPr>
        <w:t xml:space="preserve"> de revisión</w:t>
      </w:r>
      <w:r w:rsidR="000F1AD8" w:rsidRPr="00877AE6">
        <w:rPr>
          <w:rFonts w:ascii="Palatino Linotype" w:hAnsi="Palatino Linotype" w:cs="Arial"/>
          <w:sz w:val="24"/>
          <w:szCs w:val="24"/>
        </w:rPr>
        <w:t>.</w:t>
      </w:r>
    </w:p>
    <w:p w:rsidR="00877AE6" w:rsidRPr="00877AE6" w:rsidRDefault="00877AE6" w:rsidP="00877AE6">
      <w:pPr>
        <w:pStyle w:val="Prrafodelista"/>
        <w:spacing w:after="0" w:line="360" w:lineRule="auto"/>
        <w:ind w:left="360"/>
        <w:jc w:val="both"/>
        <w:rPr>
          <w:rFonts w:ascii="Palatino Linotype" w:eastAsia="Calibri" w:hAnsi="Palatino Linotype" w:cs="Arial"/>
          <w:sz w:val="24"/>
          <w:szCs w:val="24"/>
        </w:rPr>
      </w:pPr>
    </w:p>
    <w:p w:rsidR="00877AE6" w:rsidRPr="00877AE6" w:rsidRDefault="00877AE6" w:rsidP="00684788">
      <w:pPr>
        <w:pStyle w:val="Ttulo1"/>
        <w:numPr>
          <w:ilvl w:val="0"/>
          <w:numId w:val="3"/>
        </w:numPr>
        <w:rPr>
          <w:rFonts w:ascii="Palatino Linotype" w:hAnsi="Palatino Linotype"/>
          <w:b/>
          <w:color w:val="000000" w:themeColor="text1"/>
          <w:sz w:val="24"/>
          <w:szCs w:val="24"/>
        </w:rPr>
      </w:pPr>
      <w:bookmarkStart w:id="5" w:name="_Toc1392335"/>
      <w:r w:rsidRPr="00877AE6">
        <w:rPr>
          <w:rFonts w:ascii="Palatino Linotype" w:hAnsi="Palatino Linotype"/>
          <w:b/>
          <w:color w:val="000000" w:themeColor="text1"/>
          <w:sz w:val="24"/>
          <w:szCs w:val="24"/>
        </w:rPr>
        <w:lastRenderedPageBreak/>
        <w:t>De la respuesta del Sujeto Obligado.</w:t>
      </w:r>
      <w:bookmarkEnd w:id="5"/>
    </w:p>
    <w:p w:rsidR="00877AE6" w:rsidRPr="00877AE6" w:rsidRDefault="00877AE6" w:rsidP="00877AE6">
      <w:pPr>
        <w:spacing w:line="360" w:lineRule="auto"/>
        <w:rPr>
          <w:rFonts w:ascii="Palatino Linotype" w:hAnsi="Palatino Linotype"/>
          <w:color w:val="000000" w:themeColor="text1"/>
          <w:sz w:val="24"/>
          <w:szCs w:val="24"/>
        </w:rPr>
      </w:pPr>
    </w:p>
    <w:p w:rsidR="004E1262" w:rsidRPr="004E1262" w:rsidRDefault="00877AE6" w:rsidP="00A7237E">
      <w:pPr>
        <w:numPr>
          <w:ilvl w:val="0"/>
          <w:numId w:val="2"/>
        </w:numPr>
        <w:spacing w:after="0" w:line="360" w:lineRule="auto"/>
        <w:contextualSpacing/>
        <w:jc w:val="both"/>
        <w:rPr>
          <w:rFonts w:ascii="Palatino Linotype" w:hAnsi="Palatino Linotype" w:cs="Arial"/>
          <w:i/>
          <w:sz w:val="24"/>
          <w:szCs w:val="24"/>
        </w:rPr>
      </w:pPr>
      <w:r w:rsidRPr="004E1262">
        <w:rPr>
          <w:rFonts w:ascii="Palatino Linotype" w:hAnsi="Palatino Linotype" w:cs="Arial"/>
          <w:sz w:val="24"/>
          <w:szCs w:val="24"/>
        </w:rPr>
        <w:t>Como</w:t>
      </w:r>
      <w:r w:rsidRPr="004E1262">
        <w:rPr>
          <w:rFonts w:ascii="Palatino Linotype" w:hAnsi="Palatino Linotype" w:cs="Arial"/>
          <w:color w:val="000000"/>
          <w:sz w:val="24"/>
          <w:szCs w:val="24"/>
        </w:rPr>
        <w:t xml:space="preserve"> ya fue precisado,</w:t>
      </w:r>
      <w:r w:rsidRPr="004E1262">
        <w:rPr>
          <w:rFonts w:ascii="Palatino Linotype" w:hAnsi="Palatino Linotype" w:cs="Arial"/>
          <w:sz w:val="24"/>
          <w:szCs w:val="24"/>
        </w:rPr>
        <w:t xml:space="preserve"> el Sujeto Obligado </w:t>
      </w:r>
      <w:r w:rsidR="004E1262" w:rsidRPr="004E1262">
        <w:rPr>
          <w:rFonts w:ascii="Palatino Linotype" w:hAnsi="Palatino Linotype" w:cs="Arial"/>
          <w:sz w:val="24"/>
          <w:szCs w:val="24"/>
        </w:rPr>
        <w:t>fue omiso en emitir una respuesta, constituyéndose así, lo que en la doctrina se conoce como negativa ficta, figura jurídica cuya esencia consiste en atribuir un efecto negativo al silencio de la autoridad administrativa frente a las instancias y solicitudes que hagan los particulares.</w:t>
      </w:r>
    </w:p>
    <w:p w:rsidR="004E1262" w:rsidRPr="004E1262" w:rsidRDefault="004E1262" w:rsidP="004E1262">
      <w:pPr>
        <w:pStyle w:val="Prrafodelista"/>
        <w:spacing w:after="0" w:line="360" w:lineRule="auto"/>
        <w:ind w:left="360"/>
        <w:jc w:val="both"/>
        <w:rPr>
          <w:rFonts w:ascii="Palatino Linotype" w:hAnsi="Palatino Linotype" w:cs="Arial"/>
          <w:i/>
          <w:sz w:val="24"/>
          <w:szCs w:val="24"/>
        </w:rPr>
      </w:pPr>
    </w:p>
    <w:p w:rsidR="004E1262" w:rsidRPr="00630412" w:rsidRDefault="008128C6" w:rsidP="00A7237E">
      <w:pPr>
        <w:numPr>
          <w:ilvl w:val="0"/>
          <w:numId w:val="2"/>
        </w:numPr>
        <w:spacing w:after="0" w:line="360" w:lineRule="auto"/>
        <w:contextualSpacing/>
        <w:jc w:val="both"/>
        <w:rPr>
          <w:rFonts w:ascii="Palatino Linotype" w:hAnsi="Palatino Linotype" w:cs="Arial"/>
          <w:i/>
          <w:sz w:val="24"/>
          <w:szCs w:val="24"/>
        </w:rPr>
      </w:pPr>
      <w:r>
        <w:rPr>
          <w:rFonts w:ascii="Palatino Linotype" w:hAnsi="Palatino Linotype" w:cs="Arial"/>
          <w:sz w:val="24"/>
          <w:szCs w:val="24"/>
        </w:rPr>
        <w:t xml:space="preserve">De igual forma, de acuerdo a las constancias en el Sistema de Acceso a la Información Mexiquense, se observa que el </w:t>
      </w:r>
      <w:r>
        <w:rPr>
          <w:rFonts w:ascii="Palatino Linotype" w:hAnsi="Palatino Linotype" w:cs="Arial"/>
          <w:b/>
          <w:sz w:val="24"/>
          <w:szCs w:val="24"/>
        </w:rPr>
        <w:t xml:space="preserve">SUJETO OBLIGADO </w:t>
      </w:r>
      <w:r>
        <w:rPr>
          <w:rFonts w:ascii="Palatino Linotype" w:hAnsi="Palatino Linotype" w:cs="Arial"/>
          <w:sz w:val="24"/>
          <w:szCs w:val="24"/>
        </w:rPr>
        <w:t xml:space="preserve">omitió remitir el informe justificado correspondiente, constituyéndose una indudable afectación al derecho de acceso a la información pública. </w:t>
      </w:r>
    </w:p>
    <w:p w:rsidR="00630412" w:rsidRPr="00630412" w:rsidRDefault="00630412" w:rsidP="00630412">
      <w:pPr>
        <w:pStyle w:val="Prrafodelista"/>
        <w:rPr>
          <w:rFonts w:ascii="Palatino Linotype" w:hAnsi="Palatino Linotype" w:cs="Arial"/>
          <w:i/>
          <w:sz w:val="24"/>
          <w:szCs w:val="24"/>
        </w:rPr>
      </w:pPr>
    </w:p>
    <w:p w:rsidR="00877AE6" w:rsidRDefault="00877AE6" w:rsidP="004D0D2A">
      <w:pPr>
        <w:numPr>
          <w:ilvl w:val="0"/>
          <w:numId w:val="2"/>
        </w:numPr>
        <w:spacing w:after="0" w:line="360" w:lineRule="auto"/>
        <w:contextualSpacing/>
        <w:jc w:val="both"/>
        <w:rPr>
          <w:rFonts w:ascii="Palatino Linotype" w:hAnsi="Palatino Linotype" w:cs="Arial"/>
          <w:sz w:val="24"/>
          <w:szCs w:val="24"/>
        </w:rPr>
      </w:pPr>
      <w:r w:rsidRPr="00877AE6">
        <w:rPr>
          <w:rFonts w:ascii="Palatino Linotype" w:hAnsi="Palatino Linotype" w:cs="Arial"/>
          <w:sz w:val="24"/>
          <w:szCs w:val="24"/>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4D0D2A" w:rsidRDefault="004D0D2A" w:rsidP="004D0D2A">
      <w:pPr>
        <w:pStyle w:val="Prrafodelista"/>
        <w:rPr>
          <w:rFonts w:ascii="Palatino Linotype" w:hAnsi="Palatino Linotype" w:cs="Arial"/>
          <w:sz w:val="24"/>
          <w:szCs w:val="24"/>
        </w:rPr>
      </w:pPr>
    </w:p>
    <w:p w:rsidR="00877AE6" w:rsidRDefault="00877AE6" w:rsidP="004D0D2A">
      <w:pPr>
        <w:numPr>
          <w:ilvl w:val="0"/>
          <w:numId w:val="2"/>
        </w:numPr>
        <w:spacing w:after="0" w:line="360" w:lineRule="auto"/>
        <w:contextualSpacing/>
        <w:jc w:val="both"/>
        <w:rPr>
          <w:rFonts w:ascii="Palatino Linotype" w:hAnsi="Palatino Linotype" w:cs="Arial"/>
          <w:sz w:val="24"/>
          <w:szCs w:val="24"/>
        </w:rPr>
      </w:pPr>
      <w:r w:rsidRPr="00877AE6">
        <w:rPr>
          <w:rFonts w:ascii="Palatino Linotype" w:hAnsi="Palatino Linotype" w:cs="Arial"/>
          <w:sz w:val="24"/>
          <w:szCs w:val="24"/>
        </w:rPr>
        <w:t xml:space="preserve"> Por tanto, al tratar directamente con un derecho humano, todas las autoridades nos vemos impuestas del supremo mandato constitucional consistente en la promoción, respeto, protección y </w:t>
      </w:r>
      <w:r w:rsidRPr="00877AE6">
        <w:rPr>
          <w:rFonts w:ascii="Palatino Linotype" w:hAnsi="Palatino Linotype" w:cs="Arial"/>
          <w:b/>
          <w:sz w:val="24"/>
          <w:szCs w:val="24"/>
        </w:rPr>
        <w:t>garantía de los derechos humanos</w:t>
      </w:r>
      <w:r w:rsidRPr="00877AE6">
        <w:rPr>
          <w:rFonts w:ascii="Palatino Linotype" w:hAnsi="Palatino Linotype" w:cs="Arial"/>
          <w:sz w:val="24"/>
          <w:szCs w:val="24"/>
        </w:rPr>
        <w:t xml:space="preserve">, de tal forma que cualquier esfuerzo que se haga en el sentido de cumplir con dicho </w:t>
      </w:r>
      <w:r w:rsidRPr="00877AE6">
        <w:rPr>
          <w:rFonts w:ascii="Palatino Linotype" w:hAnsi="Palatino Linotype" w:cs="Arial"/>
          <w:sz w:val="24"/>
          <w:szCs w:val="24"/>
        </w:rPr>
        <w:lastRenderedPageBreak/>
        <w:t>mandato no resulta ocioso ni sobra sino demuestra el grado de compromiso de la autoridad con este aspecto toral de la reforma constitucional del 10 de junio de 2011.</w:t>
      </w:r>
    </w:p>
    <w:p w:rsidR="004D0D2A" w:rsidRDefault="004D0D2A" w:rsidP="004D0D2A">
      <w:pPr>
        <w:pStyle w:val="Prrafodelista"/>
        <w:rPr>
          <w:rFonts w:ascii="Palatino Linotype" w:hAnsi="Palatino Linotype" w:cs="Arial"/>
          <w:sz w:val="24"/>
          <w:szCs w:val="24"/>
        </w:rPr>
      </w:pPr>
    </w:p>
    <w:p w:rsidR="00877AE6" w:rsidRPr="00684788" w:rsidRDefault="00877AE6" w:rsidP="004D0D2A">
      <w:pPr>
        <w:numPr>
          <w:ilvl w:val="0"/>
          <w:numId w:val="2"/>
        </w:numPr>
        <w:spacing w:after="0" w:line="360" w:lineRule="auto"/>
        <w:contextualSpacing/>
        <w:jc w:val="both"/>
        <w:rPr>
          <w:rFonts w:ascii="Palatino Linotype" w:hAnsi="Palatino Linotype" w:cs="Arial"/>
          <w:sz w:val="24"/>
          <w:szCs w:val="24"/>
        </w:rPr>
      </w:pPr>
      <w:r w:rsidRPr="00684788">
        <w:rPr>
          <w:rFonts w:ascii="Palatino Linotype" w:hAnsi="Palatino Linotype" w:cs="Arial"/>
          <w:sz w:val="24"/>
          <w:szCs w:val="24"/>
        </w:rPr>
        <w:t xml:space="preserve">En este sentido el Dr. Miguel Carbonell ha señalado que: “Queda claro, en consecuencia, que las obligaciones de promoción, respeto, protección y garantía de los derechos corren a cargo de todos los poderes, incluso </w:t>
      </w:r>
      <w:r w:rsidRPr="00684788">
        <w:rPr>
          <w:rFonts w:ascii="Palatino Linotype" w:hAnsi="Palatino Linotype" w:cs="Arial"/>
          <w:b/>
          <w:sz w:val="24"/>
          <w:szCs w:val="24"/>
        </w:rPr>
        <w:t>considerando que algún nivel de gobierno tenga obligaciones reforzadas hacia ciertos derechos.</w:t>
      </w:r>
      <w:r w:rsidRPr="00684788">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684788">
        <w:rPr>
          <w:rFonts w:ascii="Palatino Linotype" w:hAnsi="Palatino Linotype" w:cs="Arial"/>
          <w:b/>
          <w:sz w:val="24"/>
          <w:szCs w:val="24"/>
        </w:rPr>
        <w:t>tomar todas las medidas que sean pertinentes para tutelar y hacer eficaz un derecho</w:t>
      </w:r>
      <w:r w:rsidRPr="00684788">
        <w:rPr>
          <w:rFonts w:ascii="Palatino Linotype" w:hAnsi="Palatino Linotype" w:cs="Arial"/>
          <w:sz w:val="24"/>
          <w:szCs w:val="24"/>
        </w:rPr>
        <w:t>”.</w:t>
      </w:r>
      <w:r w:rsidRPr="00684788">
        <w:rPr>
          <w:rStyle w:val="Refdenotaalpie"/>
          <w:rFonts w:ascii="Palatino Linotype" w:hAnsi="Palatino Linotype" w:cs="Arial"/>
          <w:sz w:val="24"/>
          <w:szCs w:val="24"/>
        </w:rPr>
        <w:footnoteReference w:id="1"/>
      </w:r>
    </w:p>
    <w:p w:rsidR="00877AE6" w:rsidRPr="00684788" w:rsidRDefault="00877AE6" w:rsidP="00877AE6">
      <w:pPr>
        <w:pStyle w:val="Prrafodelista"/>
        <w:spacing w:line="360" w:lineRule="auto"/>
        <w:ind w:left="0"/>
        <w:jc w:val="both"/>
        <w:rPr>
          <w:rFonts w:ascii="Palatino Linotype" w:hAnsi="Palatino Linotype" w:cs="Arial"/>
          <w:sz w:val="24"/>
          <w:szCs w:val="24"/>
        </w:rPr>
      </w:pPr>
    </w:p>
    <w:p w:rsidR="00684788" w:rsidRPr="00684788" w:rsidRDefault="00684788" w:rsidP="00684788">
      <w:pPr>
        <w:pStyle w:val="Prrafodelista"/>
        <w:numPr>
          <w:ilvl w:val="0"/>
          <w:numId w:val="2"/>
        </w:numPr>
        <w:spacing w:before="240" w:after="240" w:line="360" w:lineRule="auto"/>
        <w:jc w:val="both"/>
        <w:rPr>
          <w:rFonts w:ascii="Palatino Linotype" w:eastAsia="Calibri" w:hAnsi="Palatino Linotype" w:cs="Times New Roman"/>
          <w:sz w:val="24"/>
          <w:szCs w:val="24"/>
          <w:lang w:val="es-ES"/>
        </w:rPr>
      </w:pPr>
      <w:r w:rsidRPr="00684788">
        <w:rPr>
          <w:rFonts w:ascii="Palatino Linotype" w:eastAsia="Calibri" w:hAnsi="Palatino Linotype" w:cs="Times New Roman"/>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684788">
        <w:rPr>
          <w:rFonts w:ascii="Palatino Linotype" w:eastAsia="Calibri" w:hAnsi="Palatino Linotype" w:cs="Times New Roman"/>
          <w:i/>
          <w:sz w:val="24"/>
          <w:szCs w:val="24"/>
          <w:lang w:val="es-ES"/>
        </w:rPr>
        <w:t xml:space="preserve">en el ámbito de sus atribuciones, de promover, respetar, proteger y </w:t>
      </w:r>
      <w:r w:rsidRPr="00684788">
        <w:rPr>
          <w:rFonts w:ascii="Palatino Linotype" w:eastAsia="Calibri" w:hAnsi="Palatino Linotype" w:cs="Times New Roman"/>
          <w:b/>
          <w:i/>
          <w:sz w:val="24"/>
          <w:szCs w:val="24"/>
          <w:lang w:val="es-ES"/>
        </w:rPr>
        <w:t>garantizar</w:t>
      </w:r>
      <w:r w:rsidRPr="00684788">
        <w:rPr>
          <w:rFonts w:ascii="Palatino Linotype" w:eastAsia="Calibri" w:hAnsi="Palatino Linotype" w:cs="Times New Roman"/>
          <w:i/>
          <w:sz w:val="24"/>
          <w:szCs w:val="24"/>
          <w:lang w:val="es-ES"/>
        </w:rPr>
        <w:t xml:space="preserve"> los derechos humanos. </w:t>
      </w:r>
      <w:r w:rsidRPr="00684788">
        <w:rPr>
          <w:rFonts w:ascii="Palatino Linotype" w:eastAsia="Calibri" w:hAnsi="Palatino Linotype" w:cs="Times New Roman"/>
          <w:sz w:val="24"/>
          <w:szCs w:val="24"/>
          <w:lang w:val="es-ES"/>
        </w:rPr>
        <w:t xml:space="preserve">En este mismo sentido, debe considerarse que según lo dispuesto por el artículo 150 de la Ley de Transparencia y Acceso a la Información Pública del Estado de México y Municipios, el </w:t>
      </w:r>
      <w:r w:rsidRPr="00684788">
        <w:rPr>
          <w:rFonts w:ascii="Palatino Linotype" w:eastAsia="Calibri" w:hAnsi="Palatino Linotype" w:cs="Times New Roman"/>
          <w:i/>
          <w:sz w:val="24"/>
          <w:szCs w:val="24"/>
          <w:lang w:val="es-ES"/>
        </w:rPr>
        <w:t xml:space="preserve">procedimiento de acceso </w:t>
      </w:r>
      <w:r w:rsidRPr="00684788">
        <w:rPr>
          <w:rFonts w:ascii="Palatino Linotype" w:eastAsia="Calibri" w:hAnsi="Palatino Linotype" w:cs="Times New Roman"/>
          <w:i/>
          <w:sz w:val="24"/>
          <w:szCs w:val="24"/>
          <w:lang w:val="es-ES"/>
        </w:rPr>
        <w:lastRenderedPageBreak/>
        <w:t>a la información es la garantía primaria del derecho en cuestión.</w:t>
      </w:r>
      <w:r w:rsidRPr="00684788">
        <w:rPr>
          <w:rFonts w:ascii="Palatino Linotype" w:eastAsia="Calibri" w:hAnsi="Palatino Linotype" w:cs="Times New Roman"/>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684788">
        <w:rPr>
          <w:rFonts w:ascii="Palatino Linotype" w:eastAsia="Calibri" w:hAnsi="Palatino Linotype" w:cs="Times New Roman"/>
          <w:i/>
          <w:sz w:val="24"/>
          <w:szCs w:val="24"/>
          <w:lang w:val="es-ES"/>
        </w:rPr>
        <w:t>investigar, sancionar y reparar las violaciones a los derechos humanos.</w:t>
      </w:r>
      <w:r w:rsidRPr="00684788">
        <w:rPr>
          <w:rFonts w:ascii="Palatino Linotype" w:eastAsia="Calibri" w:hAnsi="Palatino Linotype" w:cs="Times New Roman"/>
          <w:sz w:val="24"/>
          <w:szCs w:val="24"/>
          <w:lang w:val="es-ES"/>
        </w:rPr>
        <w:t xml:space="preserve"> </w:t>
      </w:r>
    </w:p>
    <w:p w:rsidR="00684788" w:rsidRPr="00684788" w:rsidRDefault="00684788" w:rsidP="00684788">
      <w:pPr>
        <w:pStyle w:val="Prrafodelista"/>
        <w:spacing w:line="360" w:lineRule="auto"/>
        <w:ind w:left="0" w:right="49"/>
        <w:jc w:val="both"/>
        <w:rPr>
          <w:rFonts w:ascii="Palatino Linotype" w:eastAsia="Times New Roman" w:hAnsi="Palatino Linotype" w:cs="Arial"/>
          <w:color w:val="000000"/>
          <w:sz w:val="24"/>
          <w:szCs w:val="24"/>
        </w:rPr>
      </w:pPr>
    </w:p>
    <w:p w:rsidR="00684788" w:rsidRPr="00684788" w:rsidRDefault="00684788" w:rsidP="00684788">
      <w:pPr>
        <w:pStyle w:val="Prrafodelista"/>
        <w:numPr>
          <w:ilvl w:val="0"/>
          <w:numId w:val="2"/>
        </w:numPr>
        <w:spacing w:before="240" w:after="240" w:line="360" w:lineRule="auto"/>
        <w:jc w:val="both"/>
        <w:rPr>
          <w:rFonts w:ascii="Palatino Linotype" w:eastAsia="Calibri" w:hAnsi="Palatino Linotype" w:cs="Times New Roman"/>
          <w:sz w:val="24"/>
          <w:szCs w:val="24"/>
          <w:lang w:val="es-ES"/>
        </w:rPr>
      </w:pPr>
      <w:r w:rsidRPr="00684788">
        <w:rPr>
          <w:rFonts w:ascii="Palatino Linotype" w:eastAsia="Calibri" w:hAnsi="Palatino Linotype" w:cs="Times New Roman"/>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684788" w:rsidRPr="00684788" w:rsidRDefault="00684788" w:rsidP="00684788">
      <w:pPr>
        <w:pStyle w:val="Ttulo1"/>
        <w:numPr>
          <w:ilvl w:val="0"/>
          <w:numId w:val="3"/>
        </w:numPr>
        <w:rPr>
          <w:rFonts w:ascii="Palatino Linotype" w:hAnsi="Palatino Linotype" w:cs="Arial"/>
          <w:b/>
          <w:color w:val="auto"/>
          <w:sz w:val="24"/>
          <w:szCs w:val="24"/>
        </w:rPr>
      </w:pPr>
      <w:bookmarkStart w:id="6" w:name="_Toc1392336"/>
      <w:r w:rsidRPr="00684788">
        <w:rPr>
          <w:rFonts w:ascii="Palatino Linotype" w:hAnsi="Palatino Linotype" w:cs="Arial"/>
          <w:b/>
          <w:color w:val="auto"/>
          <w:sz w:val="24"/>
          <w:szCs w:val="24"/>
        </w:rPr>
        <w:t xml:space="preserve">De la </w:t>
      </w:r>
      <w:r>
        <w:rPr>
          <w:rFonts w:ascii="Palatino Linotype" w:hAnsi="Palatino Linotype" w:cs="Arial"/>
          <w:b/>
          <w:color w:val="auto"/>
          <w:sz w:val="24"/>
          <w:szCs w:val="24"/>
        </w:rPr>
        <w:t>clasificación de la información.</w:t>
      </w:r>
      <w:bookmarkEnd w:id="6"/>
      <w:r>
        <w:rPr>
          <w:rFonts w:ascii="Palatino Linotype" w:hAnsi="Palatino Linotype" w:cs="Arial"/>
          <w:b/>
          <w:color w:val="auto"/>
          <w:sz w:val="24"/>
          <w:szCs w:val="24"/>
        </w:rPr>
        <w:t xml:space="preserve"> </w:t>
      </w:r>
    </w:p>
    <w:p w:rsidR="00684788" w:rsidRPr="00684788" w:rsidRDefault="00684788" w:rsidP="00684788">
      <w:pPr>
        <w:pStyle w:val="Prrafodelista"/>
        <w:rPr>
          <w:rFonts w:ascii="Palatino Linotype" w:hAnsi="Palatino Linotype" w:cs="Arial"/>
          <w:b/>
          <w:sz w:val="24"/>
          <w:szCs w:val="24"/>
        </w:rPr>
      </w:pPr>
    </w:p>
    <w:p w:rsidR="00684788" w:rsidRPr="00684788" w:rsidRDefault="00684788" w:rsidP="00684788">
      <w:pPr>
        <w:pStyle w:val="Prrafodelista"/>
        <w:numPr>
          <w:ilvl w:val="0"/>
          <w:numId w:val="2"/>
        </w:numPr>
        <w:spacing w:before="240" w:after="240" w:line="360" w:lineRule="auto"/>
        <w:jc w:val="both"/>
        <w:rPr>
          <w:rFonts w:ascii="Palatino Linotype" w:hAnsi="Palatino Linotype" w:cs="Arial"/>
          <w:sz w:val="24"/>
          <w:szCs w:val="24"/>
          <w:lang w:val="es-ES"/>
        </w:rPr>
      </w:pPr>
      <w:r>
        <w:rPr>
          <w:rFonts w:ascii="Palatino Linotype" w:hAnsi="Palatino Linotype" w:cs="Arial"/>
          <w:sz w:val="24"/>
          <w:szCs w:val="24"/>
          <w:lang w:val="es-ES"/>
        </w:rPr>
        <w:t>P</w:t>
      </w:r>
      <w:r w:rsidRPr="00684788">
        <w:rPr>
          <w:rFonts w:ascii="Palatino Linotype" w:hAnsi="Palatino Linotype" w:cs="Arial"/>
          <w:sz w:val="24"/>
          <w:szCs w:val="24"/>
          <w:lang w:val="es-ES"/>
        </w:rPr>
        <w:t xml:space="preserve">ara responder a la solicitud de acceso a la información en cuestión el Sujeto Obligado deberá de verificar si esta corresponde a una facultad, competencia o </w:t>
      </w:r>
      <w:r w:rsidRPr="00684788">
        <w:rPr>
          <w:rFonts w:ascii="Palatino Linotype" w:hAnsi="Palatino Linotype" w:cs="Arial"/>
          <w:sz w:val="24"/>
          <w:szCs w:val="24"/>
          <w:lang w:val="es-ES"/>
        </w:rPr>
        <w:lastRenderedPageBreak/>
        <w:t>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684788" w:rsidRPr="00684788" w:rsidRDefault="00684788" w:rsidP="00684788">
      <w:pPr>
        <w:pStyle w:val="Prrafodelista"/>
        <w:spacing w:before="240" w:after="240" w:line="360" w:lineRule="auto"/>
        <w:ind w:left="0"/>
        <w:jc w:val="both"/>
        <w:rPr>
          <w:rFonts w:ascii="Palatino Linotype" w:hAnsi="Palatino Linotype" w:cs="Arial"/>
          <w:sz w:val="24"/>
          <w:szCs w:val="24"/>
          <w:lang w:val="es-ES"/>
        </w:rPr>
      </w:pPr>
    </w:p>
    <w:p w:rsidR="00684788" w:rsidRDefault="00684788" w:rsidP="00684788">
      <w:pPr>
        <w:pStyle w:val="Prrafodelista"/>
        <w:numPr>
          <w:ilvl w:val="0"/>
          <w:numId w:val="2"/>
        </w:numPr>
        <w:spacing w:before="240" w:after="240" w:line="360" w:lineRule="auto"/>
        <w:jc w:val="both"/>
        <w:rPr>
          <w:rFonts w:ascii="Palatino Linotype" w:hAnsi="Palatino Linotype" w:cs="Arial"/>
          <w:sz w:val="24"/>
          <w:szCs w:val="24"/>
          <w:lang w:val="es-ES"/>
        </w:rPr>
      </w:pPr>
      <w:r w:rsidRPr="00684788">
        <w:rPr>
          <w:rFonts w:ascii="Palatino Linotype" w:hAnsi="Palatino Linotype" w:cs="Arial"/>
          <w:sz w:val="24"/>
          <w:szCs w:val="24"/>
          <w:lang w:val="es-ES"/>
        </w:rPr>
        <w:t xml:space="preserve">Una vez que la información sea localizada, los servidores públicos habilitados deberán de valorar si se entrega en su totalidad, en versión pública o si es </w:t>
      </w:r>
      <w:r w:rsidRPr="00684788">
        <w:rPr>
          <w:rFonts w:ascii="Palatino Linotype" w:hAnsi="Palatino Linotype" w:cs="Arial"/>
          <w:b/>
          <w:sz w:val="24"/>
          <w:szCs w:val="24"/>
          <w:u w:val="single"/>
          <w:lang w:val="es-ES"/>
        </w:rPr>
        <w:t>susceptible de clasificarse</w:t>
      </w:r>
      <w:r>
        <w:rPr>
          <w:rFonts w:ascii="Palatino Linotype" w:hAnsi="Palatino Linotype" w:cs="Arial"/>
          <w:sz w:val="24"/>
          <w:szCs w:val="24"/>
          <w:lang w:val="es-ES"/>
        </w:rPr>
        <w:t xml:space="preserve">. </w:t>
      </w:r>
    </w:p>
    <w:p w:rsidR="00786073" w:rsidRPr="00786073" w:rsidRDefault="00786073" w:rsidP="00786073">
      <w:pPr>
        <w:pStyle w:val="Prrafodelista"/>
        <w:rPr>
          <w:rFonts w:ascii="Palatino Linotype" w:hAnsi="Palatino Linotype" w:cs="Arial"/>
          <w:sz w:val="24"/>
          <w:szCs w:val="24"/>
          <w:lang w:val="es-ES"/>
        </w:rPr>
      </w:pPr>
    </w:p>
    <w:p w:rsidR="00786073" w:rsidRPr="00684788" w:rsidRDefault="00786073" w:rsidP="00786073">
      <w:pPr>
        <w:pStyle w:val="Prrafodelista"/>
        <w:spacing w:before="240" w:after="240" w:line="360" w:lineRule="auto"/>
        <w:ind w:left="360"/>
        <w:jc w:val="both"/>
        <w:rPr>
          <w:rFonts w:ascii="Palatino Linotype" w:hAnsi="Palatino Linotype" w:cs="Arial"/>
          <w:sz w:val="24"/>
          <w:szCs w:val="24"/>
          <w:lang w:val="es-ES"/>
        </w:rPr>
      </w:pPr>
    </w:p>
    <w:p w:rsidR="00786073" w:rsidRPr="00166800" w:rsidRDefault="00684788" w:rsidP="00786073">
      <w:pPr>
        <w:pStyle w:val="Prrafodelista"/>
        <w:numPr>
          <w:ilvl w:val="0"/>
          <w:numId w:val="2"/>
        </w:numPr>
        <w:spacing w:before="240" w:after="240" w:line="360" w:lineRule="auto"/>
        <w:jc w:val="both"/>
        <w:rPr>
          <w:rFonts w:ascii="Palatino Linotype" w:hAnsi="Palatino Linotype"/>
          <w:i/>
        </w:rPr>
      </w:pPr>
      <w:r>
        <w:rPr>
          <w:rFonts w:ascii="Palatino Linotype" w:hAnsi="Palatino Linotype" w:cs="Arial"/>
          <w:sz w:val="24"/>
          <w:szCs w:val="24"/>
        </w:rPr>
        <w:t xml:space="preserve">En el recurso de revisión que nos ocupa, la ponencia </w:t>
      </w:r>
      <w:proofErr w:type="spellStart"/>
      <w:r>
        <w:rPr>
          <w:rFonts w:ascii="Palatino Linotype" w:hAnsi="Palatino Linotype" w:cs="Arial"/>
          <w:sz w:val="24"/>
          <w:szCs w:val="24"/>
        </w:rPr>
        <w:t>resolutora</w:t>
      </w:r>
      <w:proofErr w:type="spellEnd"/>
      <w:r>
        <w:rPr>
          <w:rFonts w:ascii="Palatino Linotype" w:hAnsi="Palatino Linotype" w:cs="Arial"/>
          <w:sz w:val="24"/>
          <w:szCs w:val="24"/>
        </w:rPr>
        <w:t xml:space="preserve"> determinó que </w:t>
      </w:r>
      <w:r w:rsidR="00786073">
        <w:rPr>
          <w:rFonts w:ascii="Palatino Linotype" w:hAnsi="Palatino Linotype" w:cs="Arial"/>
          <w:sz w:val="24"/>
          <w:szCs w:val="24"/>
        </w:rPr>
        <w:t>la solicitud de origen, consiste en información que por mandato de Ley debe clasificarse como confidencial, por tratarse de información privada contenida en documentos de orden público que refieren a la vida privada y contiene datos personales y que por ende no son de acceso público, como lo son el domicilio particular y patrimonio, por lo que se ordenó entregar: “</w:t>
      </w:r>
      <w:r w:rsidR="00786073" w:rsidRPr="00166800">
        <w:rPr>
          <w:rFonts w:ascii="Palatino Linotype" w:hAnsi="Palatino Linotype"/>
          <w:i/>
        </w:rPr>
        <w:t>El Acuerdo que apruebe el Comité de Transparencia mediante el cual se clasifique como confidencial el documento en donde conste la ubicación, de acuerdo al plano manzanero del inmueble referido en la solicitud, en términos de lo dispuesto por el artículo 143 de la Ley de Transparencia y Acceso a la Información Pública del Estado de México y Municipios.”</w:t>
      </w:r>
    </w:p>
    <w:p w:rsidR="00C32891" w:rsidRPr="00301086" w:rsidRDefault="00786073" w:rsidP="00C32891">
      <w:pPr>
        <w:pStyle w:val="Prrafodelista"/>
        <w:numPr>
          <w:ilvl w:val="0"/>
          <w:numId w:val="2"/>
        </w:numPr>
        <w:spacing w:before="240" w:after="240" w:line="360" w:lineRule="auto"/>
        <w:jc w:val="both"/>
        <w:rPr>
          <w:rFonts w:ascii="Palatino Linotype" w:eastAsia="Calibri" w:hAnsi="Palatino Linotype" w:cs="Arial"/>
          <w:sz w:val="24"/>
          <w:szCs w:val="24"/>
        </w:rPr>
      </w:pPr>
      <w:r w:rsidRPr="00786073">
        <w:rPr>
          <w:rFonts w:ascii="Palatino Linotype" w:hAnsi="Palatino Linotype" w:cs="Arial"/>
          <w:sz w:val="24"/>
          <w:szCs w:val="24"/>
        </w:rPr>
        <w:lastRenderedPageBreak/>
        <w:t xml:space="preserve">Sin embargo, es de señalar que la resolución que ahora se aprueba, se determina que se trata de información confidencial, actualizándose las condiciones precisadas por la fracción II del artículo 160 de la Ley General de Transparencia y Acceso a la Información Pública y 196 de la Ley de Transparencia y Acceso a la Información Pública del Estado de México y Municipios en virtud de que </w:t>
      </w:r>
      <w:r>
        <w:rPr>
          <w:rFonts w:ascii="Palatino Linotype" w:hAnsi="Palatino Linotype" w:cs="Arial"/>
          <w:sz w:val="24"/>
          <w:szCs w:val="24"/>
        </w:rPr>
        <w:t>se ordena clasificar como confidencial la información solicitada,</w:t>
      </w:r>
      <w:r w:rsidR="00C32891">
        <w:rPr>
          <w:rFonts w:ascii="Palatino Linotype" w:hAnsi="Palatino Linotype" w:cs="Arial"/>
          <w:sz w:val="24"/>
          <w:szCs w:val="24"/>
        </w:rPr>
        <w:t xml:space="preserve"> sin otorgar al particular la posibilidad de</w:t>
      </w:r>
      <w:r w:rsidRPr="00786073">
        <w:rPr>
          <w:rFonts w:ascii="Palatino Linotype" w:hAnsi="Palatino Linotype" w:cs="Arial"/>
          <w:sz w:val="24"/>
          <w:szCs w:val="24"/>
        </w:rPr>
        <w:t xml:space="preserve"> acudir ante el Instituto Nacional de Transparencia, Acceso a la Información Pública y Protección de Datos Personales mediante el recurso de inconformidad que puede iniciarse a través de la Plata</w:t>
      </w:r>
      <w:r w:rsidR="00C32891">
        <w:rPr>
          <w:rFonts w:ascii="Palatino Linotype" w:hAnsi="Palatino Linotype" w:cs="Arial"/>
          <w:sz w:val="24"/>
          <w:szCs w:val="24"/>
        </w:rPr>
        <w:t>forma Nacional de Transparencia. Por tanto, considero que a</w:t>
      </w:r>
      <w:r w:rsidR="00C32891" w:rsidRPr="009A3225">
        <w:rPr>
          <w:rFonts w:ascii="Palatino Linotype" w:hAnsi="Palatino Linotype"/>
          <w:color w:val="000000" w:themeColor="text1"/>
          <w:sz w:val="24"/>
          <w:szCs w:val="24"/>
        </w:rPr>
        <w:t>ctuar como se propone en la resolución resulta una carga desproporcionada que limita su derecho, afecta el ejercicio de control popular de los actos de gobierno, debilita el debate público informado que, a la larga, sólo puede contribuir al fortalecimiento de la sociedad democrática.</w:t>
      </w:r>
    </w:p>
    <w:p w:rsidR="00684788" w:rsidRDefault="00684788" w:rsidP="00786073">
      <w:pPr>
        <w:spacing w:after="0" w:line="360" w:lineRule="auto"/>
        <w:ind w:left="360"/>
        <w:contextualSpacing/>
        <w:jc w:val="both"/>
        <w:rPr>
          <w:rFonts w:ascii="Palatino Linotype" w:hAnsi="Palatino Linotype" w:cs="Arial"/>
          <w:sz w:val="24"/>
          <w:szCs w:val="24"/>
        </w:rPr>
      </w:pPr>
    </w:p>
    <w:p w:rsidR="00C32891" w:rsidRDefault="00C32891" w:rsidP="00786073">
      <w:pPr>
        <w:spacing w:after="0" w:line="360" w:lineRule="auto"/>
        <w:ind w:left="360"/>
        <w:contextualSpacing/>
        <w:jc w:val="both"/>
        <w:rPr>
          <w:rFonts w:ascii="Palatino Linotype" w:hAnsi="Palatino Linotype" w:cs="Arial"/>
          <w:sz w:val="24"/>
          <w:szCs w:val="24"/>
        </w:rPr>
      </w:pPr>
    </w:p>
    <w:p w:rsidR="000D5AEA" w:rsidRPr="00877AE6" w:rsidRDefault="000D5AEA" w:rsidP="00C32891">
      <w:pPr>
        <w:spacing w:after="0" w:line="360" w:lineRule="auto"/>
        <w:ind w:left="360"/>
        <w:contextualSpacing/>
        <w:jc w:val="center"/>
        <w:rPr>
          <w:rFonts w:ascii="Palatino Linotype" w:eastAsia="Calibri" w:hAnsi="Palatino Linotype" w:cs="Arial"/>
          <w:b/>
          <w:sz w:val="24"/>
          <w:szCs w:val="24"/>
        </w:rPr>
      </w:pPr>
      <w:r w:rsidRPr="00877AE6">
        <w:rPr>
          <w:rFonts w:ascii="Palatino Linotype" w:eastAsia="Calibri" w:hAnsi="Palatino Linotype" w:cs="Arial"/>
          <w:b/>
          <w:sz w:val="24"/>
          <w:szCs w:val="24"/>
        </w:rPr>
        <w:t>JOSÉ GUADALUPE LUNA HERNÁNDEZ</w:t>
      </w:r>
    </w:p>
    <w:p w:rsidR="000D5AEA" w:rsidRPr="00877AE6" w:rsidRDefault="000D5AEA" w:rsidP="000D5AEA">
      <w:pPr>
        <w:jc w:val="center"/>
        <w:rPr>
          <w:rFonts w:ascii="Palatino Linotype" w:eastAsia="Calibri" w:hAnsi="Palatino Linotype" w:cs="Arial"/>
          <w:b/>
          <w:color w:val="0D0D0D" w:themeColor="text1" w:themeTint="F2"/>
          <w:sz w:val="24"/>
          <w:szCs w:val="24"/>
        </w:rPr>
      </w:pPr>
      <w:r w:rsidRPr="00877AE6">
        <w:rPr>
          <w:rFonts w:ascii="Palatino Linotype" w:eastAsia="Calibri" w:hAnsi="Palatino Linotype" w:cs="Arial"/>
          <w:b/>
          <w:color w:val="0D0D0D" w:themeColor="text1" w:themeTint="F2"/>
          <w:sz w:val="24"/>
          <w:szCs w:val="24"/>
        </w:rPr>
        <w:t>COMISIONADO</w:t>
      </w:r>
    </w:p>
    <w:p w:rsidR="00A640C7" w:rsidRDefault="00C32891" w:rsidP="000D5AEA">
      <w:pPr>
        <w:jc w:val="center"/>
        <w:rPr>
          <w:rFonts w:ascii="Palatino Linotype" w:eastAsia="Calibri" w:hAnsi="Palatino Linotype" w:cs="Arial"/>
          <w:b/>
          <w:color w:val="0D0D0D" w:themeColor="text1" w:themeTint="F2"/>
          <w:sz w:val="24"/>
          <w:szCs w:val="24"/>
        </w:rPr>
      </w:pPr>
      <w:r>
        <w:rPr>
          <w:rFonts w:ascii="Palatino Linotype" w:eastAsia="Calibri" w:hAnsi="Palatino Linotype" w:cs="Arial"/>
          <w:b/>
          <w:color w:val="0D0D0D" w:themeColor="text1" w:themeTint="F2"/>
          <w:sz w:val="24"/>
          <w:szCs w:val="24"/>
        </w:rPr>
        <w:t>(Rúbrica</w:t>
      </w:r>
      <w:r w:rsidR="00A93DB3" w:rsidRPr="00877AE6">
        <w:rPr>
          <w:rFonts w:ascii="Palatino Linotype" w:eastAsia="Calibri" w:hAnsi="Palatino Linotype" w:cs="Arial"/>
          <w:b/>
          <w:color w:val="0D0D0D" w:themeColor="text1" w:themeTint="F2"/>
          <w:sz w:val="24"/>
          <w:szCs w:val="24"/>
        </w:rPr>
        <w:t>)</w:t>
      </w:r>
    </w:p>
    <w:p w:rsidR="00C32891" w:rsidRDefault="00C32891" w:rsidP="000D5AEA">
      <w:pPr>
        <w:jc w:val="center"/>
        <w:rPr>
          <w:rFonts w:ascii="Palatino Linotype" w:eastAsia="Calibri" w:hAnsi="Palatino Linotype" w:cs="Arial"/>
          <w:b/>
          <w:color w:val="0D0D0D" w:themeColor="text1" w:themeTint="F2"/>
          <w:sz w:val="24"/>
          <w:szCs w:val="24"/>
        </w:rPr>
      </w:pPr>
    </w:p>
    <w:p w:rsidR="00C32891" w:rsidRPr="00C32891" w:rsidRDefault="00C32891" w:rsidP="00C32891">
      <w:pPr>
        <w:rPr>
          <w:rFonts w:ascii="Palatino Linotype" w:eastAsia="Calibri" w:hAnsi="Palatino Linotype" w:cs="Arial"/>
          <w:color w:val="0D0D0D" w:themeColor="text1" w:themeTint="F2"/>
          <w:sz w:val="24"/>
          <w:szCs w:val="24"/>
        </w:rPr>
      </w:pPr>
      <w:r w:rsidRPr="00C32891">
        <w:rPr>
          <w:rFonts w:ascii="Palatino Linotype" w:eastAsia="Calibri" w:hAnsi="Palatino Linotype" w:cs="Arial"/>
          <w:color w:val="0D0D0D" w:themeColor="text1" w:themeTint="F2"/>
          <w:sz w:val="24"/>
          <w:szCs w:val="24"/>
        </w:rPr>
        <w:t>SAVA/</w:t>
      </w:r>
      <w:proofErr w:type="spellStart"/>
      <w:r w:rsidRPr="00C32891">
        <w:rPr>
          <w:rFonts w:ascii="Palatino Linotype" w:eastAsia="Calibri" w:hAnsi="Palatino Linotype" w:cs="Arial"/>
          <w:color w:val="0D0D0D" w:themeColor="text1" w:themeTint="F2"/>
          <w:sz w:val="24"/>
          <w:szCs w:val="24"/>
        </w:rPr>
        <w:t>sev</w:t>
      </w:r>
      <w:proofErr w:type="spellEnd"/>
    </w:p>
    <w:sectPr w:rsidR="00C32891" w:rsidRPr="00C32891"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D0B" w:rsidRDefault="00974D0B" w:rsidP="00E82D3D">
      <w:pPr>
        <w:spacing w:after="0" w:line="240" w:lineRule="auto"/>
      </w:pPr>
      <w:r>
        <w:separator/>
      </w:r>
    </w:p>
  </w:endnote>
  <w:endnote w:type="continuationSeparator" w:id="0">
    <w:p w:rsidR="00974D0B" w:rsidRDefault="00974D0B"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F1AD8" w:rsidRDefault="000F1AD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03C58">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03C58">
              <w:rPr>
                <w:b/>
                <w:bCs/>
                <w:noProof/>
              </w:rPr>
              <w:t>10</w:t>
            </w:r>
            <w:r>
              <w:rPr>
                <w:b/>
                <w:bCs/>
                <w:sz w:val="24"/>
                <w:szCs w:val="24"/>
              </w:rPr>
              <w:fldChar w:fldCharType="end"/>
            </w:r>
          </w:p>
        </w:sdtContent>
      </w:sdt>
    </w:sdtContent>
  </w:sdt>
  <w:p w:rsidR="000F1AD8" w:rsidRDefault="000F1AD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D0B" w:rsidRDefault="00974D0B" w:rsidP="00E82D3D">
      <w:pPr>
        <w:spacing w:after="0" w:line="240" w:lineRule="auto"/>
      </w:pPr>
      <w:r>
        <w:separator/>
      </w:r>
    </w:p>
  </w:footnote>
  <w:footnote w:type="continuationSeparator" w:id="0">
    <w:p w:rsidR="00974D0B" w:rsidRDefault="00974D0B" w:rsidP="00E82D3D">
      <w:pPr>
        <w:spacing w:after="0" w:line="240" w:lineRule="auto"/>
      </w:pPr>
      <w:r>
        <w:continuationSeparator/>
      </w:r>
    </w:p>
  </w:footnote>
  <w:footnote w:id="1">
    <w:p w:rsidR="00877AE6" w:rsidRDefault="00877AE6" w:rsidP="00877AE6">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974D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974D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F1AD8" w:rsidRDefault="000F1AD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1AD8" w:rsidRDefault="00974D0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367B"/>
    <w:multiLevelType w:val="hybridMultilevel"/>
    <w:tmpl w:val="41ACC94C"/>
    <w:lvl w:ilvl="0" w:tplc="DC6CA382">
      <w:start w:val="4"/>
      <w:numFmt w:val="upperRoman"/>
      <w:lvlText w:val="%1."/>
      <w:lvlJc w:val="right"/>
      <w:pPr>
        <w:ind w:left="72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0F097840"/>
    <w:multiLevelType w:val="hybridMultilevel"/>
    <w:tmpl w:val="1B56FAFE"/>
    <w:lvl w:ilvl="0" w:tplc="65EA42B2">
      <w:start w:val="5"/>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7461A"/>
    <w:multiLevelType w:val="hybridMultilevel"/>
    <w:tmpl w:val="321A5CDC"/>
    <w:lvl w:ilvl="0" w:tplc="730A9F78">
      <w:start w:val="4"/>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176250DB"/>
    <w:multiLevelType w:val="hybridMultilevel"/>
    <w:tmpl w:val="484E3100"/>
    <w:lvl w:ilvl="0" w:tplc="24DECF3E">
      <w:start w:val="7"/>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6B1660"/>
    <w:multiLevelType w:val="hybridMultilevel"/>
    <w:tmpl w:val="2FDC659E"/>
    <w:lvl w:ilvl="0" w:tplc="A2E0D7C0">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37899"/>
    <w:multiLevelType w:val="hybridMultilevel"/>
    <w:tmpl w:val="D4323CD8"/>
    <w:lvl w:ilvl="0" w:tplc="6B44A0F4">
      <w:start w:val="4"/>
      <w:numFmt w:val="upperRoman"/>
      <w:lvlText w:val="%1."/>
      <w:lvlJc w:val="left"/>
      <w:pPr>
        <w:ind w:left="72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9BA2F11"/>
    <w:multiLevelType w:val="hybridMultilevel"/>
    <w:tmpl w:val="B27E018C"/>
    <w:lvl w:ilvl="0" w:tplc="6B609CCE">
      <w:start w:val="3"/>
      <w:numFmt w:val="upperRoman"/>
      <w:lvlText w:val="%1."/>
      <w:lvlJc w:val="righ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61371B5"/>
    <w:multiLevelType w:val="hybridMultilevel"/>
    <w:tmpl w:val="FC7A905E"/>
    <w:lvl w:ilvl="0" w:tplc="7720A174">
      <w:start w:val="26"/>
      <w:numFmt w:val="decimal"/>
      <w:lvlText w:val="%1."/>
      <w:lvlJc w:val="left"/>
      <w:pPr>
        <w:ind w:left="927"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471236"/>
    <w:multiLevelType w:val="hybridMultilevel"/>
    <w:tmpl w:val="AB6CD4EC"/>
    <w:lvl w:ilvl="0" w:tplc="C86086BC">
      <w:start w:val="3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484B87"/>
    <w:multiLevelType w:val="hybridMultilevel"/>
    <w:tmpl w:val="76923F2E"/>
    <w:lvl w:ilvl="0" w:tplc="4B8A633C">
      <w:start w:val="66"/>
      <w:numFmt w:val="decimal"/>
      <w:lvlText w:val="%1."/>
      <w:lvlJc w:val="left"/>
      <w:pPr>
        <w:ind w:left="142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C365F88"/>
    <w:multiLevelType w:val="hybridMultilevel"/>
    <w:tmpl w:val="89CA7E78"/>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12D38DF"/>
    <w:multiLevelType w:val="hybridMultilevel"/>
    <w:tmpl w:val="082CF316"/>
    <w:lvl w:ilvl="0" w:tplc="ED78C648">
      <w:start w:val="65"/>
      <w:numFmt w:val="decimal"/>
      <w:lvlText w:val="%1."/>
      <w:lvlJc w:val="left"/>
      <w:pPr>
        <w:ind w:left="142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FD279B"/>
    <w:multiLevelType w:val="hybridMultilevel"/>
    <w:tmpl w:val="525AD46E"/>
    <w:lvl w:ilvl="0" w:tplc="1666AEF4">
      <w:start w:val="77"/>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765C2B"/>
    <w:multiLevelType w:val="hybridMultilevel"/>
    <w:tmpl w:val="706654C6"/>
    <w:lvl w:ilvl="0" w:tplc="2F98288A">
      <w:start w:val="5"/>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3FBE193E"/>
    <w:multiLevelType w:val="hybridMultilevel"/>
    <w:tmpl w:val="59209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31D6F24"/>
    <w:multiLevelType w:val="hybridMultilevel"/>
    <w:tmpl w:val="FFDC6926"/>
    <w:lvl w:ilvl="0" w:tplc="439075FA">
      <w:start w:val="43"/>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B1947DD"/>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8D29D4"/>
    <w:multiLevelType w:val="hybridMultilevel"/>
    <w:tmpl w:val="EBAA6EAC"/>
    <w:lvl w:ilvl="0" w:tplc="CD5E21F2">
      <w:start w:val="72"/>
      <w:numFmt w:val="decimal"/>
      <w:lvlText w:val="%1."/>
      <w:lvlJc w:val="left"/>
      <w:pPr>
        <w:ind w:left="106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02142AD"/>
    <w:multiLevelType w:val="hybridMultilevel"/>
    <w:tmpl w:val="2FDC7368"/>
    <w:lvl w:ilvl="0" w:tplc="F252EA7E">
      <w:start w:val="6"/>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1D6497E"/>
    <w:multiLevelType w:val="hybridMultilevel"/>
    <w:tmpl w:val="82BCF7CA"/>
    <w:lvl w:ilvl="0" w:tplc="55F63ECE">
      <w:start w:val="46"/>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nsid w:val="54A3498B"/>
    <w:multiLevelType w:val="hybridMultilevel"/>
    <w:tmpl w:val="3B545E18"/>
    <w:lvl w:ilvl="0" w:tplc="23EEA502">
      <w:start w:val="56"/>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7202FA"/>
    <w:multiLevelType w:val="hybridMultilevel"/>
    <w:tmpl w:val="F65A62FC"/>
    <w:lvl w:ilvl="0" w:tplc="FCA01E7E">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90D7DCB"/>
    <w:multiLevelType w:val="hybridMultilevel"/>
    <w:tmpl w:val="4C642158"/>
    <w:lvl w:ilvl="0" w:tplc="7CF0AB3C">
      <w:start w:val="7"/>
      <w:numFmt w:val="upperRoman"/>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B4B1BAE"/>
    <w:multiLevelType w:val="hybridMultilevel"/>
    <w:tmpl w:val="DBD2C95E"/>
    <w:lvl w:ilvl="0" w:tplc="BA4CA5D4">
      <w:start w:val="1"/>
      <w:numFmt w:val="upperRoman"/>
      <w:lvlText w:val="%1."/>
      <w:lvlJc w:val="left"/>
      <w:pPr>
        <w:ind w:left="1080" w:hanging="720"/>
      </w:pPr>
      <w:rPr>
        <w:rFonts w:hint="default"/>
        <w:b/>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DDD2CB1"/>
    <w:multiLevelType w:val="hybridMultilevel"/>
    <w:tmpl w:val="562AFB06"/>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34">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7976DF"/>
    <w:multiLevelType w:val="hybridMultilevel"/>
    <w:tmpl w:val="1EBC6AC8"/>
    <w:lvl w:ilvl="0" w:tplc="7F38EEE8">
      <w:start w:val="52"/>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3C1AB8"/>
    <w:multiLevelType w:val="hybridMultilevel"/>
    <w:tmpl w:val="9614ECC8"/>
    <w:lvl w:ilvl="0" w:tplc="F2D8E9C6">
      <w:start w:val="27"/>
      <w:numFmt w:val="decimal"/>
      <w:lvlText w:val="%1."/>
      <w:lvlJc w:val="left"/>
      <w:pPr>
        <w:ind w:left="360" w:hanging="360"/>
      </w:pPr>
      <w:rPr>
        <w:rFonts w:ascii="Palatino Linotype" w:eastAsia="Times New Roman" w:hAnsi="Palatino Linotype" w:hint="default"/>
        <w:b/>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A40145"/>
    <w:multiLevelType w:val="hybridMultilevel"/>
    <w:tmpl w:val="A914E30C"/>
    <w:lvl w:ilvl="0" w:tplc="1460E8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DF32FC3"/>
    <w:multiLevelType w:val="hybridMultilevel"/>
    <w:tmpl w:val="0204C632"/>
    <w:lvl w:ilvl="0" w:tplc="40E4F992">
      <w:start w:val="53"/>
      <w:numFmt w:val="decimal"/>
      <w:lvlText w:val="%1."/>
      <w:lvlJc w:val="left"/>
      <w:pPr>
        <w:ind w:left="1068"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E3B6589"/>
    <w:multiLevelType w:val="hybridMultilevel"/>
    <w:tmpl w:val="0FBE5B0C"/>
    <w:lvl w:ilvl="0" w:tplc="344009A2">
      <w:start w:val="4"/>
      <w:numFmt w:val="upperRoman"/>
      <w:lvlText w:val="%1."/>
      <w:lvlJc w:val="left"/>
      <w:pPr>
        <w:ind w:left="72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3"/>
  </w:num>
  <w:num w:numId="2">
    <w:abstractNumId w:val="30"/>
  </w:num>
  <w:num w:numId="3">
    <w:abstractNumId w:val="32"/>
  </w:num>
  <w:num w:numId="4">
    <w:abstractNumId w:val="37"/>
  </w:num>
  <w:num w:numId="5">
    <w:abstractNumId w:val="34"/>
  </w:num>
  <w:num w:numId="6">
    <w:abstractNumId w:val="35"/>
  </w:num>
  <w:num w:numId="7">
    <w:abstractNumId w:val="28"/>
  </w:num>
  <w:num w:numId="8">
    <w:abstractNumId w:val="4"/>
  </w:num>
  <w:num w:numId="9">
    <w:abstractNumId w:val="0"/>
  </w:num>
  <w:num w:numId="10">
    <w:abstractNumId w:val="19"/>
  </w:num>
  <w:num w:numId="11">
    <w:abstractNumId w:val="26"/>
  </w:num>
  <w:num w:numId="12">
    <w:abstractNumId w:val="5"/>
  </w:num>
  <w:num w:numId="13">
    <w:abstractNumId w:val="31"/>
  </w:num>
  <w:num w:numId="14">
    <w:abstractNumId w:val="44"/>
  </w:num>
  <w:num w:numId="15">
    <w:abstractNumId w:val="1"/>
  </w:num>
  <w:num w:numId="16">
    <w:abstractNumId w:val="9"/>
  </w:num>
  <w:num w:numId="17">
    <w:abstractNumId w:val="39"/>
  </w:num>
  <w:num w:numId="18">
    <w:abstractNumId w:val="22"/>
  </w:num>
  <w:num w:numId="19">
    <w:abstractNumId w:val="27"/>
  </w:num>
  <w:num w:numId="20">
    <w:abstractNumId w:val="38"/>
  </w:num>
  <w:num w:numId="21">
    <w:abstractNumId w:val="43"/>
  </w:num>
  <w:num w:numId="22">
    <w:abstractNumId w:val="29"/>
  </w:num>
  <w:num w:numId="23">
    <w:abstractNumId w:val="15"/>
  </w:num>
  <w:num w:numId="24">
    <w:abstractNumId w:val="12"/>
  </w:num>
  <w:num w:numId="25">
    <w:abstractNumId w:val="25"/>
  </w:num>
  <w:num w:numId="26">
    <w:abstractNumId w:val="18"/>
  </w:num>
  <w:num w:numId="27">
    <w:abstractNumId w:val="10"/>
  </w:num>
  <w:num w:numId="28">
    <w:abstractNumId w:val="7"/>
  </w:num>
  <w:num w:numId="29">
    <w:abstractNumId w:val="6"/>
  </w:num>
  <w:num w:numId="30">
    <w:abstractNumId w:val="3"/>
  </w:num>
  <w:num w:numId="31">
    <w:abstractNumId w:val="20"/>
  </w:num>
  <w:num w:numId="32">
    <w:abstractNumId w:val="2"/>
  </w:num>
  <w:num w:numId="33">
    <w:abstractNumId w:val="14"/>
  </w:num>
  <w:num w:numId="34">
    <w:abstractNumId w:val="42"/>
  </w:num>
  <w:num w:numId="35">
    <w:abstractNumId w:val="40"/>
  </w:num>
  <w:num w:numId="36">
    <w:abstractNumId w:val="21"/>
  </w:num>
  <w:num w:numId="37">
    <w:abstractNumId w:val="33"/>
  </w:num>
  <w:num w:numId="38">
    <w:abstractNumId w:val="8"/>
  </w:num>
  <w:num w:numId="39">
    <w:abstractNumId w:val="13"/>
  </w:num>
  <w:num w:numId="40">
    <w:abstractNumId w:val="36"/>
  </w:num>
  <w:num w:numId="41">
    <w:abstractNumId w:val="17"/>
  </w:num>
  <w:num w:numId="42">
    <w:abstractNumId w:val="41"/>
  </w:num>
  <w:num w:numId="43">
    <w:abstractNumId w:val="24"/>
  </w:num>
  <w:num w:numId="44">
    <w:abstractNumId w:val="16"/>
  </w:num>
  <w:num w:numId="4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D40"/>
    <w:rsid w:val="00006292"/>
    <w:rsid w:val="000137B8"/>
    <w:rsid w:val="000143E4"/>
    <w:rsid w:val="00014859"/>
    <w:rsid w:val="00022833"/>
    <w:rsid w:val="00032D26"/>
    <w:rsid w:val="00056DE9"/>
    <w:rsid w:val="00073647"/>
    <w:rsid w:val="00096CC2"/>
    <w:rsid w:val="000B2BC8"/>
    <w:rsid w:val="000C6443"/>
    <w:rsid w:val="000D5AEA"/>
    <w:rsid w:val="000F1AD8"/>
    <w:rsid w:val="00102360"/>
    <w:rsid w:val="00102A9E"/>
    <w:rsid w:val="00113051"/>
    <w:rsid w:val="001134A2"/>
    <w:rsid w:val="001240A5"/>
    <w:rsid w:val="0014534B"/>
    <w:rsid w:val="00146C7D"/>
    <w:rsid w:val="001744A9"/>
    <w:rsid w:val="001759E6"/>
    <w:rsid w:val="00187610"/>
    <w:rsid w:val="001B19B4"/>
    <w:rsid w:val="001B2A38"/>
    <w:rsid w:val="001C2D8C"/>
    <w:rsid w:val="001D51C6"/>
    <w:rsid w:val="001E4EBD"/>
    <w:rsid w:val="001E7FE3"/>
    <w:rsid w:val="00241815"/>
    <w:rsid w:val="00245FAB"/>
    <w:rsid w:val="0025316C"/>
    <w:rsid w:val="0027188D"/>
    <w:rsid w:val="002E3ED2"/>
    <w:rsid w:val="002F79FF"/>
    <w:rsid w:val="00303C58"/>
    <w:rsid w:val="00315A31"/>
    <w:rsid w:val="003246CE"/>
    <w:rsid w:val="003258B6"/>
    <w:rsid w:val="00334204"/>
    <w:rsid w:val="00362134"/>
    <w:rsid w:val="00376456"/>
    <w:rsid w:val="00384DBA"/>
    <w:rsid w:val="00391ECE"/>
    <w:rsid w:val="003A094B"/>
    <w:rsid w:val="003B64F7"/>
    <w:rsid w:val="003D1DF8"/>
    <w:rsid w:val="004137A7"/>
    <w:rsid w:val="004505EE"/>
    <w:rsid w:val="00466F45"/>
    <w:rsid w:val="00474F5A"/>
    <w:rsid w:val="0048628E"/>
    <w:rsid w:val="004B0239"/>
    <w:rsid w:val="004D0D2A"/>
    <w:rsid w:val="004E1262"/>
    <w:rsid w:val="004E1D27"/>
    <w:rsid w:val="004F15BB"/>
    <w:rsid w:val="005556CA"/>
    <w:rsid w:val="00573FEE"/>
    <w:rsid w:val="0057636B"/>
    <w:rsid w:val="00581E2F"/>
    <w:rsid w:val="00586D5D"/>
    <w:rsid w:val="005C544A"/>
    <w:rsid w:val="005E38D6"/>
    <w:rsid w:val="005F30BC"/>
    <w:rsid w:val="00617ACF"/>
    <w:rsid w:val="006257F0"/>
    <w:rsid w:val="00630412"/>
    <w:rsid w:val="00630750"/>
    <w:rsid w:val="00656A65"/>
    <w:rsid w:val="006577B9"/>
    <w:rsid w:val="00684788"/>
    <w:rsid w:val="00687050"/>
    <w:rsid w:val="006F0A01"/>
    <w:rsid w:val="006F7748"/>
    <w:rsid w:val="00707317"/>
    <w:rsid w:val="00733E65"/>
    <w:rsid w:val="007528B1"/>
    <w:rsid w:val="00762A8E"/>
    <w:rsid w:val="00786073"/>
    <w:rsid w:val="0079319A"/>
    <w:rsid w:val="00797A31"/>
    <w:rsid w:val="007A5C1B"/>
    <w:rsid w:val="007D037D"/>
    <w:rsid w:val="007F564A"/>
    <w:rsid w:val="008039E7"/>
    <w:rsid w:val="00807E40"/>
    <w:rsid w:val="008128C6"/>
    <w:rsid w:val="0081508B"/>
    <w:rsid w:val="00832EA1"/>
    <w:rsid w:val="00877AE6"/>
    <w:rsid w:val="008C2121"/>
    <w:rsid w:val="008F7805"/>
    <w:rsid w:val="00902FFF"/>
    <w:rsid w:val="00905472"/>
    <w:rsid w:val="009109B4"/>
    <w:rsid w:val="00974D0B"/>
    <w:rsid w:val="0098322D"/>
    <w:rsid w:val="009A2D39"/>
    <w:rsid w:val="009C382C"/>
    <w:rsid w:val="009D7DC0"/>
    <w:rsid w:val="00A0789D"/>
    <w:rsid w:val="00A112DF"/>
    <w:rsid w:val="00A13BDF"/>
    <w:rsid w:val="00A61EE4"/>
    <w:rsid w:val="00A640C7"/>
    <w:rsid w:val="00A7073D"/>
    <w:rsid w:val="00A7237E"/>
    <w:rsid w:val="00A766F3"/>
    <w:rsid w:val="00A93DB3"/>
    <w:rsid w:val="00AB44E1"/>
    <w:rsid w:val="00B31280"/>
    <w:rsid w:val="00B418D3"/>
    <w:rsid w:val="00B44BEB"/>
    <w:rsid w:val="00B46FD7"/>
    <w:rsid w:val="00B5044C"/>
    <w:rsid w:val="00B87397"/>
    <w:rsid w:val="00B9285A"/>
    <w:rsid w:val="00BB488C"/>
    <w:rsid w:val="00C06F53"/>
    <w:rsid w:val="00C20346"/>
    <w:rsid w:val="00C32891"/>
    <w:rsid w:val="00C3434E"/>
    <w:rsid w:val="00C71CD0"/>
    <w:rsid w:val="00C743FE"/>
    <w:rsid w:val="00C753D8"/>
    <w:rsid w:val="00C93C6C"/>
    <w:rsid w:val="00CA2B8E"/>
    <w:rsid w:val="00CB73E4"/>
    <w:rsid w:val="00CC7CC1"/>
    <w:rsid w:val="00CE1E1B"/>
    <w:rsid w:val="00CF0462"/>
    <w:rsid w:val="00CF69A6"/>
    <w:rsid w:val="00D214EE"/>
    <w:rsid w:val="00D228DE"/>
    <w:rsid w:val="00D7079B"/>
    <w:rsid w:val="00D70E0E"/>
    <w:rsid w:val="00DD14BB"/>
    <w:rsid w:val="00DD319E"/>
    <w:rsid w:val="00DE0E07"/>
    <w:rsid w:val="00DE7A32"/>
    <w:rsid w:val="00E06302"/>
    <w:rsid w:val="00E20DC1"/>
    <w:rsid w:val="00E20E86"/>
    <w:rsid w:val="00E220D0"/>
    <w:rsid w:val="00E23078"/>
    <w:rsid w:val="00E235A7"/>
    <w:rsid w:val="00E32640"/>
    <w:rsid w:val="00E37324"/>
    <w:rsid w:val="00E452DC"/>
    <w:rsid w:val="00E469EB"/>
    <w:rsid w:val="00E57622"/>
    <w:rsid w:val="00E82D3D"/>
    <w:rsid w:val="00EA1463"/>
    <w:rsid w:val="00EB7577"/>
    <w:rsid w:val="00EF1A34"/>
    <w:rsid w:val="00F01325"/>
    <w:rsid w:val="00F1435E"/>
    <w:rsid w:val="00F16AB7"/>
    <w:rsid w:val="00F30EE8"/>
    <w:rsid w:val="00F354D8"/>
    <w:rsid w:val="00F60D79"/>
    <w:rsid w:val="00F82E38"/>
    <w:rsid w:val="00FA2027"/>
    <w:rsid w:val="00FB2286"/>
    <w:rsid w:val="00FB7111"/>
    <w:rsid w:val="00FC605B"/>
    <w:rsid w:val="00FE08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AEA"/>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E20DC1"/>
    <w:pPr>
      <w:tabs>
        <w:tab w:val="left" w:pos="660"/>
        <w:tab w:val="right" w:leader="dot" w:pos="8828"/>
      </w:tabs>
      <w:spacing w:after="100"/>
      <w:ind w:left="709" w:hanging="709"/>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styleId="TDC2">
    <w:name w:val="toc 2"/>
    <w:basedOn w:val="Normal"/>
    <w:next w:val="Normal"/>
    <w:autoRedefine/>
    <w:uiPriority w:val="39"/>
    <w:unhideWhenUsed/>
    <w:rsid w:val="009C382C"/>
    <w:pPr>
      <w:spacing w:after="100"/>
      <w:ind w:left="220"/>
    </w:pPr>
  </w:style>
  <w:style w:type="paragraph" w:styleId="TDC3">
    <w:name w:val="toc 3"/>
    <w:basedOn w:val="Normal"/>
    <w:next w:val="Normal"/>
    <w:autoRedefine/>
    <w:uiPriority w:val="39"/>
    <w:unhideWhenUsed/>
    <w:rsid w:val="009C382C"/>
    <w:pPr>
      <w:spacing w:after="100"/>
      <w:ind w:left="440"/>
    </w:pPr>
  </w:style>
  <w:style w:type="character" w:customStyle="1" w:styleId="A3">
    <w:name w:val="A3"/>
    <w:uiPriority w:val="99"/>
    <w:rsid w:val="00334204"/>
    <w:rPr>
      <w:color w:val="221E1F"/>
      <w:sz w:val="20"/>
      <w:szCs w:val="20"/>
    </w:rPr>
  </w:style>
  <w:style w:type="paragraph" w:customStyle="1" w:styleId="Pa7">
    <w:name w:val="Pa7"/>
    <w:basedOn w:val="Normal"/>
    <w:next w:val="Normal"/>
    <w:uiPriority w:val="99"/>
    <w:rsid w:val="00334204"/>
    <w:pPr>
      <w:autoSpaceDE w:val="0"/>
      <w:autoSpaceDN w:val="0"/>
      <w:adjustRightInd w:val="0"/>
      <w:spacing w:after="0" w:line="201" w:lineRule="atLeast"/>
    </w:pPr>
    <w:rPr>
      <w:rFonts w:ascii="Arial" w:hAnsi="Arial" w:cs="Arial"/>
      <w:sz w:val="24"/>
      <w:szCs w:val="24"/>
    </w:rPr>
  </w:style>
  <w:style w:type="character" w:customStyle="1" w:styleId="A5">
    <w:name w:val="A5"/>
    <w:uiPriority w:val="99"/>
    <w:rsid w:val="00334204"/>
    <w:rPr>
      <w:color w:val="221E1F"/>
      <w:sz w:val="11"/>
      <w:szCs w:val="11"/>
    </w:rPr>
  </w:style>
  <w:style w:type="table" w:styleId="Tablaconcuadrcula">
    <w:name w:val="Table Grid"/>
    <w:basedOn w:val="Tablanormal"/>
    <w:uiPriority w:val="39"/>
    <w:rsid w:val="00474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474F5A"/>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474F5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F16AB7"/>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97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D7943-3DCA-4E01-B32E-6ABC19CD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10</Pages>
  <Words>1870</Words>
  <Characters>10289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2019-02-18T19:38:00Z</cp:lastPrinted>
  <dcterms:created xsi:type="dcterms:W3CDTF">2019-02-15T19:36:00Z</dcterms:created>
  <dcterms:modified xsi:type="dcterms:W3CDTF">2019-04-10T17:09:00Z</dcterms:modified>
</cp:coreProperties>
</file>